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77EF" w14:textId="77777777" w:rsidR="004E2E7A" w:rsidRPr="00FA23A1" w:rsidRDefault="004E2E7A" w:rsidP="004E2E7A">
      <w:pPr>
        <w:pStyle w:val="Heading1"/>
        <w:spacing w:before="0"/>
        <w:jc w:val="center"/>
        <w:rPr>
          <w:b/>
        </w:rPr>
      </w:pPr>
      <w:r w:rsidRPr="00FA23A1">
        <w:rPr>
          <w:b/>
        </w:rPr>
        <w:t>PROGRAM OUTCOME DATA</w:t>
      </w:r>
    </w:p>
    <w:p w14:paraId="36A4F33A" w14:textId="1059EF98" w:rsidR="004E2E7A" w:rsidRPr="00C405BF" w:rsidRDefault="004E2E7A" w:rsidP="004E2E7A">
      <w:pPr>
        <w:pStyle w:val="palatino10outlinenumbered"/>
        <w:numPr>
          <w:ilvl w:val="0"/>
          <w:numId w:val="0"/>
        </w:numPr>
        <w:ind w:left="360" w:hanging="360"/>
        <w:rPr>
          <w:rFonts w:asciiTheme="minorHAnsi" w:hAnsiTheme="minorHAnsi" w:cs="Arial"/>
          <w:sz w:val="24"/>
          <w:szCs w:val="24"/>
        </w:rPr>
      </w:pPr>
    </w:p>
    <w:p w14:paraId="7113C505" w14:textId="1ABB04F8" w:rsidR="004E2E7A" w:rsidRPr="00285E63" w:rsidRDefault="004E2E7A" w:rsidP="004E2E7A">
      <w:pPr>
        <w:spacing w:before="60" w:after="60"/>
        <w:rPr>
          <w:rFonts w:asciiTheme="minorHAnsi" w:hAnsiTheme="minorHAnsi" w:cs="Arial"/>
          <w:b/>
          <w:i/>
          <w:sz w:val="22"/>
          <w:szCs w:val="22"/>
        </w:rPr>
      </w:pPr>
      <w:r w:rsidRPr="00C85A02">
        <w:rPr>
          <w:rFonts w:asciiTheme="minorHAnsi" w:hAnsiTheme="minorHAnsi" w:cs="Arial"/>
          <w:color w:val="000000" w:themeColor="text1"/>
          <w:sz w:val="22"/>
          <w:szCs w:val="22"/>
        </w:rPr>
        <w:t xml:space="preserve">As part of the </w:t>
      </w:r>
      <w:r>
        <w:rPr>
          <w:rFonts w:asciiTheme="minorHAnsi" w:hAnsiTheme="minorHAnsi" w:cs="Arial"/>
          <w:color w:val="000000" w:themeColor="text1"/>
          <w:sz w:val="22"/>
          <w:szCs w:val="22"/>
        </w:rPr>
        <w:t xml:space="preserve">EC </w:t>
      </w:r>
      <w:r w:rsidRPr="00C85A02">
        <w:rPr>
          <w:rFonts w:asciiTheme="minorHAnsi" w:hAnsiTheme="minorHAnsi" w:cs="Arial"/>
          <w:color w:val="000000" w:themeColor="text1"/>
          <w:sz w:val="22"/>
          <w:szCs w:val="22"/>
        </w:rPr>
        <w:t xml:space="preserve">program’s achieving and maintaining NAEYC accreditation, </w:t>
      </w:r>
      <w:r>
        <w:rPr>
          <w:rFonts w:asciiTheme="minorHAnsi" w:hAnsiTheme="minorHAnsi" w:cs="Arial"/>
          <w:color w:val="000000" w:themeColor="text1"/>
          <w:sz w:val="22"/>
          <w:szCs w:val="22"/>
        </w:rPr>
        <w:t>we will</w:t>
      </w:r>
      <w:r w:rsidRPr="00C85A02">
        <w:rPr>
          <w:rFonts w:asciiTheme="minorHAnsi" w:hAnsiTheme="minorHAnsi" w:cs="Arial"/>
          <w:color w:val="000000" w:themeColor="text1"/>
          <w:sz w:val="22"/>
          <w:szCs w:val="22"/>
        </w:rPr>
        <w:t xml:space="preserve"> report annually on the following </w:t>
      </w:r>
      <w:r>
        <w:rPr>
          <w:rFonts w:asciiTheme="minorHAnsi" w:hAnsiTheme="minorHAnsi" w:cs="Arial"/>
          <w:color w:val="000000" w:themeColor="text1"/>
          <w:sz w:val="22"/>
          <w:szCs w:val="22"/>
        </w:rPr>
        <w:t>Program Outcome M</w:t>
      </w:r>
      <w:r w:rsidRPr="00C85A02">
        <w:rPr>
          <w:rFonts w:asciiTheme="minorHAnsi" w:hAnsiTheme="minorHAnsi" w:cs="Arial"/>
          <w:color w:val="000000" w:themeColor="text1"/>
          <w:sz w:val="22"/>
          <w:szCs w:val="22"/>
        </w:rPr>
        <w:t>easures</w:t>
      </w:r>
      <w:r>
        <w:rPr>
          <w:rFonts w:asciiTheme="minorHAnsi" w:hAnsiTheme="minorHAnsi" w:cs="Arial"/>
          <w:color w:val="000000" w:themeColor="text1"/>
          <w:sz w:val="22"/>
          <w:szCs w:val="22"/>
        </w:rPr>
        <w:t>.</w:t>
      </w:r>
      <w:r w:rsidRPr="00C85A02">
        <w:rPr>
          <w:rFonts w:asciiTheme="minorHAnsi" w:hAnsiTheme="minorHAnsi" w:cs="Arial"/>
          <w:color w:val="000000" w:themeColor="text1"/>
          <w:sz w:val="22"/>
          <w:szCs w:val="22"/>
        </w:rPr>
        <w:t xml:space="preserve"> </w:t>
      </w:r>
    </w:p>
    <w:p w14:paraId="1E7A3F90" w14:textId="77777777" w:rsidR="004E2E7A" w:rsidRPr="00C85A02" w:rsidRDefault="004E2E7A" w:rsidP="004E2E7A">
      <w:pPr>
        <w:spacing w:before="60" w:after="60"/>
        <w:rPr>
          <w:rFonts w:asciiTheme="minorHAnsi" w:hAnsiTheme="minorHAnsi" w:cs="Arial"/>
          <w:color w:val="000000" w:themeColor="text1"/>
          <w:sz w:val="22"/>
          <w:szCs w:val="22"/>
        </w:rPr>
      </w:pPr>
    </w:p>
    <w:p w14:paraId="52E53CC5" w14:textId="77777777" w:rsidR="004E2E7A" w:rsidRPr="005C03BD" w:rsidRDefault="004E2E7A" w:rsidP="004E2E7A">
      <w:pPr>
        <w:spacing w:before="60" w:after="60"/>
        <w:rPr>
          <w:rFonts w:asciiTheme="minorHAnsi" w:hAnsiTheme="minorHAnsi" w:cs="Arial"/>
          <w:u w:val="single"/>
        </w:rPr>
      </w:pPr>
      <w:r w:rsidRPr="005C03BD">
        <w:rPr>
          <w:rFonts w:asciiTheme="minorHAnsi" w:hAnsiTheme="minorHAnsi" w:cs="Arial"/>
          <w:b/>
          <w:u w:val="single"/>
        </w:rPr>
        <w:t xml:space="preserve">Outcome Measure #1: The Number of Program Completers </w:t>
      </w:r>
    </w:p>
    <w:p w14:paraId="3F593A04" w14:textId="77777777" w:rsidR="004E2E7A" w:rsidRDefault="004E2E7A" w:rsidP="004E2E7A">
      <w:pPr>
        <w:spacing w:before="60" w:after="60"/>
        <w:ind w:left="360" w:hanging="360"/>
        <w:rPr>
          <w:rFonts w:ascii="Verdana" w:hAnsi="Verdana" w:cs="Arial"/>
          <w:b/>
          <w:sz w:val="20"/>
        </w:rPr>
      </w:pPr>
    </w:p>
    <w:p w14:paraId="5D138D3C" w14:textId="21E2B338" w:rsidR="004E2E7A" w:rsidRPr="00C85A02" w:rsidRDefault="004E2E7A" w:rsidP="004E2E7A">
      <w:pPr>
        <w:spacing w:before="60" w:after="60"/>
        <w:ind w:left="360" w:hanging="360"/>
        <w:rPr>
          <w:rFonts w:ascii="Verdana" w:hAnsi="Verdana" w:cs="Arial"/>
          <w:b/>
          <w:sz w:val="20"/>
        </w:rPr>
      </w:pPr>
      <w:r>
        <w:rPr>
          <w:rFonts w:ascii="Verdana" w:hAnsi="Verdana" w:cs="Arial"/>
          <w:b/>
          <w:sz w:val="20"/>
        </w:rPr>
        <w:t>T</w:t>
      </w:r>
      <w:r>
        <w:rPr>
          <w:rFonts w:ascii="Verdana" w:hAnsi="Verdana" w:cs="Arial"/>
          <w:b/>
          <w:sz w:val="20"/>
        </w:rPr>
        <w:t>he chart below</w:t>
      </w:r>
      <w:r>
        <w:rPr>
          <w:rFonts w:ascii="Verdana" w:hAnsi="Verdana" w:cs="Arial"/>
          <w:b/>
          <w:sz w:val="20"/>
        </w:rPr>
        <w:t xml:space="preserve"> </w:t>
      </w:r>
      <w:r>
        <w:rPr>
          <w:rFonts w:ascii="Verdana" w:hAnsi="Verdana" w:cs="Arial"/>
          <w:b/>
          <w:sz w:val="20"/>
        </w:rPr>
        <w:t>indicate</w:t>
      </w:r>
      <w:r>
        <w:rPr>
          <w:rFonts w:ascii="Verdana" w:hAnsi="Verdana" w:cs="Arial"/>
          <w:b/>
          <w:sz w:val="20"/>
        </w:rPr>
        <w:t>s</w:t>
      </w:r>
      <w:r>
        <w:rPr>
          <w:rFonts w:ascii="Verdana" w:hAnsi="Verdana" w:cs="Arial"/>
          <w:b/>
          <w:sz w:val="20"/>
        </w:rPr>
        <w:t xml:space="preserve"> t</w:t>
      </w:r>
      <w:r w:rsidRPr="00C85A02">
        <w:rPr>
          <w:rFonts w:ascii="Verdana" w:hAnsi="Verdana" w:cs="Arial"/>
          <w:b/>
          <w:sz w:val="20"/>
        </w:rPr>
        <w:t>he number of program completers for the three most recent academic years</w:t>
      </w:r>
    </w:p>
    <w:p w14:paraId="521E1235" w14:textId="77777777" w:rsidR="004E2E7A" w:rsidRPr="00C85A02" w:rsidRDefault="004E2E7A" w:rsidP="004E2E7A">
      <w:pPr>
        <w:spacing w:before="60" w:after="60"/>
        <w:ind w:left="360" w:hanging="360"/>
        <w:rPr>
          <w:rFonts w:ascii="Verdana" w:hAnsi="Verdana" w:cs="Arial"/>
          <w:sz w:val="20"/>
        </w:rPr>
      </w:pPr>
    </w:p>
    <w:tbl>
      <w:tblPr>
        <w:tblStyle w:val="TableGrid1"/>
        <w:tblW w:w="5000" w:type="pct"/>
        <w:tblLook w:val="04A0" w:firstRow="1" w:lastRow="0" w:firstColumn="1" w:lastColumn="0" w:noHBand="0" w:noVBand="1"/>
      </w:tblPr>
      <w:tblGrid>
        <w:gridCol w:w="2064"/>
        <w:gridCol w:w="2160"/>
        <w:gridCol w:w="2611"/>
        <w:gridCol w:w="2515"/>
      </w:tblGrid>
      <w:tr w:rsidR="004E2E7A" w:rsidRPr="00C85A02" w14:paraId="19968CF2" w14:textId="77777777" w:rsidTr="00081041">
        <w:trPr>
          <w:trHeight w:val="576"/>
        </w:trPr>
        <w:tc>
          <w:tcPr>
            <w:tcW w:w="1104" w:type="pct"/>
            <w:vAlign w:val="center"/>
          </w:tcPr>
          <w:p w14:paraId="66AD6C2B" w14:textId="77777777" w:rsidR="004E2E7A" w:rsidRPr="001B5D4C" w:rsidRDefault="004E2E7A" w:rsidP="00081041">
            <w:pPr>
              <w:jc w:val="center"/>
              <w:rPr>
                <w:rFonts w:asciiTheme="minorHAnsi" w:hAnsiTheme="minorHAnsi"/>
                <w:b/>
                <w:color w:val="000000" w:themeColor="text1"/>
                <w:sz w:val="22"/>
                <w:szCs w:val="22"/>
              </w:rPr>
            </w:pPr>
            <w:r w:rsidRPr="001B5D4C">
              <w:rPr>
                <w:rFonts w:asciiTheme="minorHAnsi" w:hAnsiTheme="minorHAnsi"/>
                <w:b/>
                <w:color w:val="000000" w:themeColor="text1"/>
                <w:sz w:val="22"/>
                <w:szCs w:val="22"/>
              </w:rPr>
              <w:t>Academic Year</w:t>
            </w:r>
          </w:p>
        </w:tc>
        <w:tc>
          <w:tcPr>
            <w:tcW w:w="1155" w:type="pct"/>
            <w:vAlign w:val="center"/>
          </w:tcPr>
          <w:p w14:paraId="261BA38F" w14:textId="77777777" w:rsidR="004E2E7A" w:rsidRPr="001B5D4C" w:rsidRDefault="004E2E7A" w:rsidP="00081041">
            <w:pPr>
              <w:jc w:val="center"/>
              <w:rPr>
                <w:rFonts w:asciiTheme="minorHAnsi" w:hAnsiTheme="minorHAnsi"/>
                <w:b/>
                <w:color w:val="000000" w:themeColor="text1"/>
                <w:sz w:val="22"/>
                <w:szCs w:val="22"/>
              </w:rPr>
            </w:pPr>
            <w:r w:rsidRPr="001B5D4C">
              <w:rPr>
                <w:rFonts w:asciiTheme="minorHAnsi" w:hAnsiTheme="minorHAnsi"/>
                <w:b/>
                <w:color w:val="000000" w:themeColor="text1"/>
                <w:sz w:val="22"/>
                <w:szCs w:val="22"/>
              </w:rPr>
              <w:t>Number of program completers</w:t>
            </w:r>
          </w:p>
        </w:tc>
        <w:tc>
          <w:tcPr>
            <w:tcW w:w="1396" w:type="pct"/>
            <w:vAlign w:val="center"/>
          </w:tcPr>
          <w:p w14:paraId="0D5E7B0C" w14:textId="77777777" w:rsidR="004E2E7A" w:rsidRPr="001B5D4C" w:rsidRDefault="004E2E7A" w:rsidP="00081041">
            <w:pPr>
              <w:jc w:val="center"/>
              <w:rPr>
                <w:rFonts w:asciiTheme="minorHAnsi" w:hAnsiTheme="minorHAnsi"/>
                <w:b/>
                <w:color w:val="000000" w:themeColor="text1"/>
                <w:sz w:val="22"/>
                <w:szCs w:val="22"/>
              </w:rPr>
            </w:pPr>
            <w:r w:rsidRPr="001B5D4C">
              <w:rPr>
                <w:rFonts w:asciiTheme="minorHAnsi" w:hAnsiTheme="minorHAnsi"/>
                <w:b/>
                <w:color w:val="000000" w:themeColor="text1"/>
                <w:sz w:val="22"/>
                <w:szCs w:val="22"/>
              </w:rPr>
              <w:t>% of program completers who were attending full-time (at the time of completion)</w:t>
            </w:r>
          </w:p>
        </w:tc>
        <w:tc>
          <w:tcPr>
            <w:tcW w:w="1345" w:type="pct"/>
            <w:vAlign w:val="center"/>
          </w:tcPr>
          <w:p w14:paraId="7CA32384" w14:textId="77777777" w:rsidR="004E2E7A" w:rsidRPr="001B5D4C" w:rsidRDefault="004E2E7A" w:rsidP="00081041">
            <w:pPr>
              <w:jc w:val="center"/>
              <w:rPr>
                <w:rFonts w:asciiTheme="minorHAnsi" w:hAnsiTheme="minorHAnsi"/>
                <w:b/>
                <w:color w:val="000000" w:themeColor="text1"/>
                <w:sz w:val="22"/>
                <w:szCs w:val="22"/>
              </w:rPr>
            </w:pPr>
            <w:r w:rsidRPr="001B5D4C">
              <w:rPr>
                <w:rFonts w:asciiTheme="minorHAnsi" w:hAnsiTheme="minorHAnsi"/>
                <w:b/>
                <w:color w:val="000000" w:themeColor="text1"/>
                <w:sz w:val="22"/>
                <w:szCs w:val="22"/>
              </w:rPr>
              <w:t>% of program completers who were attending part-time</w:t>
            </w:r>
            <w:r w:rsidRPr="001B5D4C">
              <w:rPr>
                <w:rFonts w:asciiTheme="minorHAnsi" w:hAnsiTheme="minorHAnsi"/>
                <w:b/>
                <w:color w:val="000000" w:themeColor="text1"/>
                <w:sz w:val="22"/>
                <w:szCs w:val="22"/>
                <w:vertAlign w:val="superscript"/>
              </w:rPr>
              <w:footnoteReference w:id="1"/>
            </w:r>
            <w:r w:rsidRPr="001B5D4C">
              <w:rPr>
                <w:rFonts w:asciiTheme="minorHAnsi" w:hAnsiTheme="minorHAnsi"/>
                <w:b/>
                <w:color w:val="000000" w:themeColor="text1"/>
                <w:sz w:val="22"/>
                <w:szCs w:val="22"/>
              </w:rPr>
              <w:t xml:space="preserve"> (at the time of completion)</w:t>
            </w:r>
          </w:p>
        </w:tc>
      </w:tr>
      <w:tr w:rsidR="004E2E7A" w:rsidRPr="00C85A02" w14:paraId="3864DB10" w14:textId="77777777" w:rsidTr="00081041">
        <w:tc>
          <w:tcPr>
            <w:tcW w:w="1104" w:type="pct"/>
            <w:vAlign w:val="center"/>
          </w:tcPr>
          <w:p w14:paraId="3FA9DB7B" w14:textId="77777777" w:rsidR="004E2E7A" w:rsidRPr="002B2CB2" w:rsidRDefault="004E2E7A" w:rsidP="00081041">
            <w:pPr>
              <w:spacing w:before="60" w:after="60"/>
              <w:jc w:val="center"/>
              <w:rPr>
                <w:rFonts w:asciiTheme="minorHAnsi" w:hAnsiTheme="minorHAnsi"/>
                <w:sz w:val="22"/>
                <w:szCs w:val="22"/>
              </w:rPr>
            </w:pPr>
            <w:r w:rsidRPr="006171D5">
              <w:rPr>
                <w:rFonts w:asciiTheme="minorHAnsi" w:hAnsiTheme="minorHAnsi"/>
                <w:sz w:val="22"/>
                <w:szCs w:val="22"/>
              </w:rPr>
              <w:t>2017-2018</w:t>
            </w:r>
          </w:p>
        </w:tc>
        <w:tc>
          <w:tcPr>
            <w:tcW w:w="1155" w:type="pct"/>
            <w:vAlign w:val="center"/>
          </w:tcPr>
          <w:p w14:paraId="7255E708" w14:textId="77777777" w:rsidR="004E2E7A" w:rsidRPr="002B2CB2" w:rsidRDefault="004E2E7A" w:rsidP="00081041">
            <w:pPr>
              <w:spacing w:before="60" w:after="60"/>
              <w:jc w:val="center"/>
              <w:rPr>
                <w:rFonts w:asciiTheme="minorHAnsi" w:hAnsiTheme="minorHAnsi"/>
                <w:sz w:val="22"/>
                <w:szCs w:val="22"/>
              </w:rPr>
            </w:pPr>
            <w:r>
              <w:rPr>
                <w:rFonts w:asciiTheme="minorHAnsi" w:hAnsiTheme="minorHAnsi"/>
                <w:sz w:val="22"/>
                <w:szCs w:val="22"/>
              </w:rPr>
              <w:t>15</w:t>
            </w:r>
          </w:p>
        </w:tc>
        <w:tc>
          <w:tcPr>
            <w:tcW w:w="1396" w:type="pct"/>
            <w:vAlign w:val="center"/>
          </w:tcPr>
          <w:p w14:paraId="648D0694" w14:textId="77777777" w:rsidR="004E2E7A" w:rsidRPr="002B2CB2" w:rsidRDefault="004E2E7A" w:rsidP="00081041">
            <w:pPr>
              <w:spacing w:before="60" w:after="60"/>
              <w:jc w:val="center"/>
              <w:rPr>
                <w:rFonts w:asciiTheme="minorHAnsi" w:hAnsiTheme="minorHAnsi"/>
                <w:sz w:val="22"/>
                <w:szCs w:val="22"/>
              </w:rPr>
            </w:pPr>
            <w:r>
              <w:rPr>
                <w:rFonts w:asciiTheme="minorHAnsi" w:hAnsiTheme="minorHAnsi"/>
                <w:sz w:val="22"/>
                <w:szCs w:val="22"/>
              </w:rPr>
              <w:t>6.7%</w:t>
            </w:r>
          </w:p>
        </w:tc>
        <w:tc>
          <w:tcPr>
            <w:tcW w:w="1345" w:type="pct"/>
            <w:vAlign w:val="center"/>
          </w:tcPr>
          <w:p w14:paraId="11425288" w14:textId="77777777" w:rsidR="004E2E7A" w:rsidRPr="002B2CB2" w:rsidRDefault="004E2E7A" w:rsidP="00081041">
            <w:pPr>
              <w:spacing w:before="60" w:after="60"/>
              <w:jc w:val="center"/>
              <w:rPr>
                <w:rFonts w:asciiTheme="minorHAnsi" w:hAnsiTheme="minorHAnsi"/>
                <w:sz w:val="22"/>
                <w:szCs w:val="22"/>
              </w:rPr>
            </w:pPr>
            <w:r>
              <w:rPr>
                <w:rFonts w:asciiTheme="minorHAnsi" w:hAnsiTheme="minorHAnsi"/>
                <w:sz w:val="22"/>
                <w:szCs w:val="22"/>
              </w:rPr>
              <w:t>93.3%</w:t>
            </w:r>
          </w:p>
        </w:tc>
      </w:tr>
      <w:tr w:rsidR="004E2E7A" w:rsidRPr="00C85A02" w14:paraId="19A8F001" w14:textId="77777777" w:rsidTr="00081041">
        <w:tc>
          <w:tcPr>
            <w:tcW w:w="1104" w:type="pct"/>
            <w:vAlign w:val="center"/>
          </w:tcPr>
          <w:p w14:paraId="1034BC5F" w14:textId="77777777" w:rsidR="004E2E7A" w:rsidRPr="00C85A02" w:rsidRDefault="004E2E7A" w:rsidP="00081041">
            <w:pPr>
              <w:spacing w:before="60" w:after="60"/>
              <w:jc w:val="center"/>
              <w:rPr>
                <w:rFonts w:asciiTheme="minorHAnsi" w:hAnsiTheme="minorHAnsi"/>
                <w:color w:val="000000" w:themeColor="text1"/>
                <w:sz w:val="22"/>
                <w:szCs w:val="22"/>
              </w:rPr>
            </w:pPr>
            <w:r w:rsidRPr="002B2CB2">
              <w:rPr>
                <w:rFonts w:asciiTheme="minorHAnsi" w:hAnsiTheme="minorHAnsi"/>
                <w:sz w:val="22"/>
                <w:szCs w:val="22"/>
              </w:rPr>
              <w:t>2016-2017</w:t>
            </w:r>
          </w:p>
        </w:tc>
        <w:tc>
          <w:tcPr>
            <w:tcW w:w="1155" w:type="pct"/>
            <w:vAlign w:val="center"/>
          </w:tcPr>
          <w:p w14:paraId="522B4DE5" w14:textId="77777777" w:rsidR="004E2E7A" w:rsidRPr="00C85A02" w:rsidRDefault="004E2E7A" w:rsidP="00081041">
            <w:pPr>
              <w:spacing w:before="60" w:after="60"/>
              <w:jc w:val="center"/>
              <w:rPr>
                <w:rFonts w:asciiTheme="minorHAnsi" w:hAnsiTheme="minorHAnsi"/>
                <w:color w:val="000000" w:themeColor="text1"/>
                <w:sz w:val="22"/>
                <w:szCs w:val="22"/>
              </w:rPr>
            </w:pPr>
            <w:r w:rsidRPr="002B2CB2">
              <w:rPr>
                <w:rFonts w:asciiTheme="minorHAnsi" w:hAnsiTheme="minorHAnsi"/>
                <w:sz w:val="22"/>
                <w:szCs w:val="22"/>
              </w:rPr>
              <w:t>14</w:t>
            </w:r>
          </w:p>
        </w:tc>
        <w:tc>
          <w:tcPr>
            <w:tcW w:w="1396" w:type="pct"/>
            <w:vAlign w:val="center"/>
          </w:tcPr>
          <w:p w14:paraId="62582BAC" w14:textId="77777777" w:rsidR="004E2E7A" w:rsidRPr="00C85A02" w:rsidRDefault="004E2E7A" w:rsidP="00081041">
            <w:pPr>
              <w:spacing w:before="60" w:after="60"/>
              <w:jc w:val="center"/>
              <w:rPr>
                <w:rFonts w:asciiTheme="minorHAnsi" w:hAnsiTheme="minorHAnsi"/>
                <w:color w:val="000000" w:themeColor="text1"/>
                <w:sz w:val="22"/>
                <w:szCs w:val="22"/>
              </w:rPr>
            </w:pPr>
            <w:r w:rsidRPr="002B2CB2">
              <w:rPr>
                <w:rFonts w:asciiTheme="minorHAnsi" w:hAnsiTheme="minorHAnsi"/>
                <w:sz w:val="22"/>
                <w:szCs w:val="22"/>
              </w:rPr>
              <w:t>21.4%</w:t>
            </w:r>
          </w:p>
        </w:tc>
        <w:tc>
          <w:tcPr>
            <w:tcW w:w="1345" w:type="pct"/>
            <w:vAlign w:val="center"/>
          </w:tcPr>
          <w:p w14:paraId="6B904B62" w14:textId="77777777" w:rsidR="004E2E7A" w:rsidRPr="00C85A02" w:rsidRDefault="004E2E7A" w:rsidP="00081041">
            <w:pPr>
              <w:spacing w:before="60" w:after="60"/>
              <w:jc w:val="center"/>
              <w:rPr>
                <w:rFonts w:asciiTheme="minorHAnsi" w:hAnsiTheme="minorHAnsi"/>
                <w:color w:val="000000" w:themeColor="text1"/>
                <w:sz w:val="22"/>
                <w:szCs w:val="22"/>
              </w:rPr>
            </w:pPr>
            <w:r w:rsidRPr="002B2CB2">
              <w:rPr>
                <w:rFonts w:asciiTheme="minorHAnsi" w:hAnsiTheme="minorHAnsi"/>
                <w:sz w:val="22"/>
                <w:szCs w:val="22"/>
              </w:rPr>
              <w:t>78.6%</w:t>
            </w:r>
          </w:p>
        </w:tc>
      </w:tr>
      <w:tr w:rsidR="004E2E7A" w:rsidRPr="00C85A02" w14:paraId="5AE123E0" w14:textId="77777777" w:rsidTr="00081041">
        <w:tc>
          <w:tcPr>
            <w:tcW w:w="1104" w:type="pct"/>
            <w:vAlign w:val="center"/>
          </w:tcPr>
          <w:p w14:paraId="010C2485" w14:textId="77777777" w:rsidR="004E2E7A" w:rsidRPr="00C85A02" w:rsidRDefault="004E2E7A" w:rsidP="00081041">
            <w:pPr>
              <w:spacing w:before="60" w:after="60"/>
              <w:jc w:val="center"/>
              <w:rPr>
                <w:rFonts w:asciiTheme="minorHAnsi" w:hAnsiTheme="minorHAnsi"/>
                <w:color w:val="000000" w:themeColor="text1"/>
                <w:sz w:val="22"/>
                <w:szCs w:val="22"/>
              </w:rPr>
            </w:pPr>
            <w:r w:rsidRPr="002B2CB2">
              <w:rPr>
                <w:rFonts w:asciiTheme="minorHAnsi" w:hAnsiTheme="minorHAnsi"/>
                <w:sz w:val="22"/>
                <w:szCs w:val="22"/>
              </w:rPr>
              <w:t>2015-2016</w:t>
            </w:r>
          </w:p>
        </w:tc>
        <w:tc>
          <w:tcPr>
            <w:tcW w:w="1155" w:type="pct"/>
            <w:vAlign w:val="center"/>
          </w:tcPr>
          <w:p w14:paraId="49E1A0BD" w14:textId="77777777" w:rsidR="004E2E7A" w:rsidRPr="00C85A02" w:rsidRDefault="004E2E7A" w:rsidP="00081041">
            <w:pPr>
              <w:spacing w:before="60" w:after="60"/>
              <w:jc w:val="center"/>
              <w:rPr>
                <w:rFonts w:asciiTheme="minorHAnsi" w:hAnsiTheme="minorHAnsi"/>
                <w:color w:val="000000" w:themeColor="text1"/>
                <w:sz w:val="22"/>
                <w:szCs w:val="22"/>
              </w:rPr>
            </w:pPr>
            <w:r w:rsidRPr="002B2CB2">
              <w:rPr>
                <w:rFonts w:asciiTheme="minorHAnsi" w:hAnsiTheme="minorHAnsi"/>
                <w:sz w:val="22"/>
                <w:szCs w:val="22"/>
              </w:rPr>
              <w:t>11</w:t>
            </w:r>
          </w:p>
        </w:tc>
        <w:tc>
          <w:tcPr>
            <w:tcW w:w="1396" w:type="pct"/>
            <w:vAlign w:val="center"/>
          </w:tcPr>
          <w:p w14:paraId="6FE042C2" w14:textId="77777777" w:rsidR="004E2E7A" w:rsidRPr="00C85A02" w:rsidRDefault="004E2E7A" w:rsidP="00081041">
            <w:pPr>
              <w:spacing w:before="60" w:after="60"/>
              <w:jc w:val="center"/>
              <w:rPr>
                <w:rFonts w:asciiTheme="minorHAnsi" w:hAnsiTheme="minorHAnsi"/>
                <w:color w:val="000000" w:themeColor="text1"/>
                <w:sz w:val="22"/>
                <w:szCs w:val="22"/>
              </w:rPr>
            </w:pPr>
            <w:r w:rsidRPr="002B2CB2">
              <w:rPr>
                <w:rFonts w:asciiTheme="minorHAnsi" w:hAnsiTheme="minorHAnsi"/>
                <w:sz w:val="22"/>
                <w:szCs w:val="22"/>
              </w:rPr>
              <w:t>0%</w:t>
            </w:r>
          </w:p>
        </w:tc>
        <w:tc>
          <w:tcPr>
            <w:tcW w:w="1345" w:type="pct"/>
            <w:vAlign w:val="center"/>
          </w:tcPr>
          <w:p w14:paraId="096DF874" w14:textId="77777777" w:rsidR="004E2E7A" w:rsidRPr="00C85A02" w:rsidRDefault="004E2E7A" w:rsidP="00081041">
            <w:pPr>
              <w:spacing w:before="60" w:after="60"/>
              <w:jc w:val="center"/>
              <w:rPr>
                <w:rFonts w:asciiTheme="minorHAnsi" w:hAnsiTheme="minorHAnsi"/>
                <w:color w:val="000000" w:themeColor="text1"/>
                <w:sz w:val="22"/>
                <w:szCs w:val="22"/>
              </w:rPr>
            </w:pPr>
            <w:r w:rsidRPr="002B2CB2">
              <w:rPr>
                <w:rFonts w:asciiTheme="minorHAnsi" w:hAnsiTheme="minorHAnsi"/>
                <w:sz w:val="22"/>
                <w:szCs w:val="22"/>
              </w:rPr>
              <w:t>100%</w:t>
            </w:r>
          </w:p>
        </w:tc>
      </w:tr>
      <w:tr w:rsidR="004E2E7A" w:rsidRPr="00C85A02" w14:paraId="38C93E71" w14:textId="77777777" w:rsidTr="00081041">
        <w:tc>
          <w:tcPr>
            <w:tcW w:w="1104" w:type="pct"/>
            <w:vAlign w:val="center"/>
          </w:tcPr>
          <w:p w14:paraId="0A2A28E3" w14:textId="77777777" w:rsidR="004E2E7A" w:rsidRPr="00C85A02" w:rsidRDefault="004E2E7A" w:rsidP="00081041">
            <w:pPr>
              <w:spacing w:before="60" w:after="60"/>
              <w:jc w:val="center"/>
              <w:rPr>
                <w:rFonts w:asciiTheme="minorHAnsi" w:hAnsiTheme="minorHAnsi"/>
                <w:color w:val="000000" w:themeColor="text1"/>
                <w:sz w:val="22"/>
                <w:szCs w:val="22"/>
              </w:rPr>
            </w:pPr>
            <w:r w:rsidRPr="002B2CB2">
              <w:rPr>
                <w:rFonts w:asciiTheme="minorHAnsi" w:hAnsiTheme="minorHAnsi"/>
                <w:sz w:val="22"/>
                <w:szCs w:val="22"/>
              </w:rPr>
              <w:t>2014-2015</w:t>
            </w:r>
          </w:p>
        </w:tc>
        <w:tc>
          <w:tcPr>
            <w:tcW w:w="1155" w:type="pct"/>
            <w:vAlign w:val="center"/>
          </w:tcPr>
          <w:p w14:paraId="0E6F3E25" w14:textId="77777777" w:rsidR="004E2E7A" w:rsidRPr="00C85A02" w:rsidRDefault="004E2E7A" w:rsidP="00081041">
            <w:pPr>
              <w:spacing w:before="60" w:after="60"/>
              <w:jc w:val="center"/>
              <w:rPr>
                <w:rFonts w:asciiTheme="minorHAnsi" w:hAnsiTheme="minorHAnsi"/>
                <w:color w:val="000000" w:themeColor="text1"/>
                <w:sz w:val="22"/>
                <w:szCs w:val="22"/>
              </w:rPr>
            </w:pPr>
            <w:r w:rsidRPr="002B2CB2">
              <w:rPr>
                <w:rFonts w:asciiTheme="minorHAnsi" w:hAnsiTheme="minorHAnsi"/>
                <w:sz w:val="22"/>
                <w:szCs w:val="22"/>
              </w:rPr>
              <w:t>5</w:t>
            </w:r>
          </w:p>
        </w:tc>
        <w:tc>
          <w:tcPr>
            <w:tcW w:w="1396" w:type="pct"/>
            <w:vAlign w:val="center"/>
          </w:tcPr>
          <w:p w14:paraId="5CAFD553" w14:textId="77777777" w:rsidR="004E2E7A" w:rsidRPr="00C85A02" w:rsidRDefault="004E2E7A" w:rsidP="00081041">
            <w:pPr>
              <w:spacing w:before="60" w:after="60"/>
              <w:jc w:val="center"/>
              <w:rPr>
                <w:rFonts w:asciiTheme="minorHAnsi" w:hAnsiTheme="minorHAnsi"/>
                <w:color w:val="000000" w:themeColor="text1"/>
                <w:sz w:val="22"/>
                <w:szCs w:val="22"/>
              </w:rPr>
            </w:pPr>
            <w:r w:rsidRPr="002B2CB2">
              <w:rPr>
                <w:rFonts w:asciiTheme="minorHAnsi" w:hAnsiTheme="minorHAnsi"/>
                <w:sz w:val="22"/>
                <w:szCs w:val="22"/>
              </w:rPr>
              <w:t>20%</w:t>
            </w:r>
          </w:p>
        </w:tc>
        <w:tc>
          <w:tcPr>
            <w:tcW w:w="1345" w:type="pct"/>
            <w:vAlign w:val="center"/>
          </w:tcPr>
          <w:p w14:paraId="6097C0B8" w14:textId="77777777" w:rsidR="004E2E7A" w:rsidRPr="00C85A02" w:rsidRDefault="004E2E7A" w:rsidP="00081041">
            <w:pPr>
              <w:spacing w:before="60" w:after="60"/>
              <w:jc w:val="center"/>
              <w:rPr>
                <w:rFonts w:asciiTheme="minorHAnsi" w:hAnsiTheme="minorHAnsi"/>
                <w:color w:val="000000" w:themeColor="text1"/>
                <w:sz w:val="22"/>
                <w:szCs w:val="22"/>
              </w:rPr>
            </w:pPr>
            <w:r w:rsidRPr="002B2CB2">
              <w:rPr>
                <w:rFonts w:asciiTheme="minorHAnsi" w:hAnsiTheme="minorHAnsi"/>
                <w:sz w:val="22"/>
                <w:szCs w:val="22"/>
              </w:rPr>
              <w:t>80%</w:t>
            </w:r>
          </w:p>
        </w:tc>
      </w:tr>
    </w:tbl>
    <w:p w14:paraId="1B6D4899" w14:textId="77777777" w:rsidR="004E2E7A" w:rsidRPr="00C85A02" w:rsidRDefault="004E2E7A" w:rsidP="004E2E7A">
      <w:pPr>
        <w:spacing w:before="60" w:after="60"/>
        <w:ind w:left="360" w:hanging="360"/>
        <w:rPr>
          <w:rFonts w:ascii="Verdana" w:hAnsi="Verdana" w:cs="Arial"/>
          <w:sz w:val="20"/>
        </w:rPr>
      </w:pPr>
    </w:p>
    <w:p w14:paraId="4A86DD5D" w14:textId="77777777" w:rsidR="004E2E7A" w:rsidRDefault="004E2E7A" w:rsidP="004E2E7A">
      <w:pPr>
        <w:spacing w:before="60" w:after="60"/>
        <w:rPr>
          <w:rFonts w:asciiTheme="minorHAnsi" w:hAnsiTheme="minorHAnsi" w:cs="Arial"/>
          <w:b/>
          <w:u w:val="single"/>
        </w:rPr>
      </w:pPr>
      <w:r>
        <w:rPr>
          <w:rFonts w:asciiTheme="minorHAnsi" w:hAnsiTheme="minorHAnsi" w:cs="Arial"/>
          <w:b/>
          <w:u w:val="single"/>
        </w:rPr>
        <w:br/>
      </w:r>
    </w:p>
    <w:p w14:paraId="32E71313" w14:textId="77777777" w:rsidR="004E2E7A" w:rsidRDefault="004E2E7A" w:rsidP="004E2E7A">
      <w:pPr>
        <w:rPr>
          <w:rFonts w:asciiTheme="minorHAnsi" w:hAnsiTheme="minorHAnsi" w:cs="Arial"/>
          <w:b/>
          <w:u w:val="single"/>
        </w:rPr>
      </w:pPr>
      <w:r>
        <w:rPr>
          <w:rFonts w:asciiTheme="minorHAnsi" w:hAnsiTheme="minorHAnsi" w:cs="Arial"/>
          <w:b/>
          <w:u w:val="single"/>
        </w:rPr>
        <w:br w:type="page"/>
      </w:r>
    </w:p>
    <w:p w14:paraId="65D39505" w14:textId="77777777" w:rsidR="004E2E7A" w:rsidRPr="0026093A" w:rsidRDefault="004E2E7A" w:rsidP="004E2E7A">
      <w:pPr>
        <w:spacing w:before="60" w:after="60"/>
        <w:rPr>
          <w:rFonts w:asciiTheme="minorHAnsi" w:hAnsiTheme="minorHAnsi" w:cstheme="minorHAnsi"/>
          <w:sz w:val="22"/>
          <w:szCs w:val="22"/>
          <w:u w:val="single"/>
        </w:rPr>
      </w:pPr>
      <w:r w:rsidRPr="0026093A">
        <w:rPr>
          <w:rFonts w:asciiTheme="minorHAnsi" w:hAnsiTheme="minorHAnsi" w:cstheme="minorHAnsi"/>
          <w:b/>
          <w:sz w:val="22"/>
          <w:szCs w:val="22"/>
          <w:u w:val="single"/>
        </w:rPr>
        <w:lastRenderedPageBreak/>
        <w:t>Outcome Measure #2:  The Program Completion Rate</w:t>
      </w:r>
    </w:p>
    <w:p w14:paraId="0108C7D9" w14:textId="77777777" w:rsidR="004E2E7A" w:rsidRPr="0026093A" w:rsidRDefault="004E2E7A" w:rsidP="004E2E7A">
      <w:pPr>
        <w:spacing w:before="60" w:after="60"/>
        <w:ind w:left="360"/>
        <w:rPr>
          <w:rFonts w:asciiTheme="minorHAnsi" w:hAnsiTheme="minorHAnsi" w:cstheme="minorHAnsi"/>
          <w:sz w:val="22"/>
          <w:szCs w:val="22"/>
        </w:rPr>
      </w:pPr>
    </w:p>
    <w:p w14:paraId="23B84906" w14:textId="2D04EA1F" w:rsidR="004E2E7A" w:rsidRPr="004E2E7A" w:rsidRDefault="004E2E7A" w:rsidP="004E2E7A">
      <w:pPr>
        <w:spacing w:before="60" w:after="60"/>
        <w:rPr>
          <w:rFonts w:asciiTheme="minorHAnsi" w:hAnsiTheme="minorHAnsi" w:cstheme="minorHAnsi"/>
          <w:b/>
          <w:sz w:val="22"/>
          <w:szCs w:val="22"/>
        </w:rPr>
      </w:pPr>
      <w:r>
        <w:rPr>
          <w:rFonts w:asciiTheme="minorHAnsi" w:hAnsiTheme="minorHAnsi" w:cstheme="minorHAnsi"/>
          <w:b/>
          <w:sz w:val="22"/>
          <w:szCs w:val="22"/>
        </w:rPr>
        <w:t>The</w:t>
      </w:r>
      <w:r w:rsidRPr="0026093A">
        <w:rPr>
          <w:rFonts w:asciiTheme="minorHAnsi" w:hAnsiTheme="minorHAnsi" w:cstheme="minorHAnsi"/>
          <w:b/>
          <w:sz w:val="22"/>
          <w:szCs w:val="22"/>
        </w:rPr>
        <w:t xml:space="preserve"> published timeframe for full-time students to complete the early childhood program</w:t>
      </w:r>
      <w:r>
        <w:rPr>
          <w:rFonts w:asciiTheme="minorHAnsi" w:hAnsiTheme="minorHAnsi" w:cstheme="minorHAnsi"/>
          <w:b/>
          <w:sz w:val="22"/>
          <w:szCs w:val="22"/>
        </w:rPr>
        <w:t xml:space="preserve"> is </w:t>
      </w:r>
      <w:r w:rsidRPr="004E2E7A">
        <w:rPr>
          <w:rFonts w:asciiTheme="minorHAnsi" w:hAnsiTheme="minorHAnsi" w:cstheme="minorHAnsi"/>
          <w:b/>
          <w:sz w:val="22"/>
          <w:szCs w:val="22"/>
        </w:rPr>
        <w:t>4 year</w:t>
      </w:r>
      <w:r>
        <w:rPr>
          <w:rFonts w:asciiTheme="minorHAnsi" w:hAnsiTheme="minorHAnsi" w:cstheme="minorHAnsi"/>
          <w:b/>
          <w:sz w:val="22"/>
          <w:szCs w:val="22"/>
        </w:rPr>
        <w:t>s.</w:t>
      </w:r>
    </w:p>
    <w:p w14:paraId="2A1B5009" w14:textId="50E365BB" w:rsidR="004E2E7A" w:rsidRPr="002129AA" w:rsidRDefault="004E2E7A" w:rsidP="004E2E7A">
      <w:pPr>
        <w:spacing w:before="60" w:after="60"/>
        <w:rPr>
          <w:rFonts w:asciiTheme="minorHAnsi" w:hAnsiTheme="minorHAnsi" w:cstheme="minorHAnsi"/>
          <w:b/>
          <w:color w:val="000000" w:themeColor="text1"/>
          <w:sz w:val="22"/>
          <w:szCs w:val="22"/>
        </w:rPr>
      </w:pPr>
      <w:r>
        <w:rPr>
          <w:rFonts w:asciiTheme="minorHAnsi" w:hAnsiTheme="minorHAnsi" w:cstheme="minorHAnsi"/>
          <w:sz w:val="22"/>
          <w:szCs w:val="22"/>
        </w:rPr>
        <w:t>The</w:t>
      </w:r>
      <w:r w:rsidRPr="002129AA">
        <w:rPr>
          <w:rFonts w:asciiTheme="minorHAnsi" w:hAnsiTheme="minorHAnsi" w:cstheme="minorHAnsi"/>
          <w:sz w:val="22"/>
          <w:szCs w:val="22"/>
        </w:rPr>
        <w:t xml:space="preserve"> following chart indicate</w:t>
      </w:r>
      <w:r>
        <w:rPr>
          <w:rFonts w:asciiTheme="minorHAnsi" w:hAnsiTheme="minorHAnsi" w:cstheme="minorHAnsi"/>
          <w:sz w:val="22"/>
          <w:szCs w:val="22"/>
        </w:rPr>
        <w:t>s</w:t>
      </w:r>
      <w:r w:rsidRPr="002129AA">
        <w:rPr>
          <w:rFonts w:asciiTheme="minorHAnsi" w:hAnsiTheme="minorHAnsi" w:cstheme="minorHAnsi"/>
          <w:sz w:val="22"/>
          <w:szCs w:val="22"/>
        </w:rPr>
        <w:t xml:space="preserve"> </w:t>
      </w:r>
      <w:r w:rsidRPr="002129AA">
        <w:rPr>
          <w:rFonts w:asciiTheme="minorHAnsi" w:hAnsiTheme="minorHAnsi" w:cstheme="minorHAnsi"/>
          <w:b/>
          <w:sz w:val="22"/>
          <w:szCs w:val="22"/>
        </w:rPr>
        <w:t>t</w:t>
      </w:r>
      <w:r w:rsidRPr="002129AA">
        <w:rPr>
          <w:rFonts w:asciiTheme="minorHAnsi" w:hAnsiTheme="minorHAnsi" w:cstheme="minorHAnsi"/>
          <w:b/>
          <w:color w:val="000000" w:themeColor="text1"/>
          <w:sz w:val="22"/>
          <w:szCs w:val="22"/>
        </w:rPr>
        <w:t>he percentage of full-time students completing the program within the program's published timeframe</w:t>
      </w:r>
      <w:r>
        <w:rPr>
          <w:rFonts w:asciiTheme="minorHAnsi" w:hAnsiTheme="minorHAnsi" w:cstheme="minorHAnsi"/>
          <w:b/>
          <w:color w:val="000000" w:themeColor="text1"/>
          <w:sz w:val="22"/>
          <w:szCs w:val="22"/>
        </w:rPr>
        <w:t>.</w:t>
      </w:r>
      <w:r w:rsidRPr="002129AA">
        <w:rPr>
          <w:rFonts w:asciiTheme="minorHAnsi" w:hAnsiTheme="minorHAnsi" w:cstheme="minorHAnsi"/>
          <w:b/>
          <w:color w:val="000000" w:themeColor="text1"/>
          <w:sz w:val="22"/>
          <w:szCs w:val="22"/>
          <w:vertAlign w:val="superscript"/>
        </w:rPr>
        <w:footnoteReference w:id="2"/>
      </w:r>
      <w:r w:rsidRPr="002129AA">
        <w:rPr>
          <w:rFonts w:asciiTheme="minorHAnsi" w:hAnsiTheme="minorHAnsi" w:cstheme="minorHAnsi"/>
          <w:b/>
          <w:color w:val="000000" w:themeColor="text1"/>
          <w:sz w:val="22"/>
          <w:szCs w:val="22"/>
        </w:rPr>
        <w:t xml:space="preserve"> </w:t>
      </w:r>
      <w:r w:rsidRPr="002129AA">
        <w:rPr>
          <w:rFonts w:asciiTheme="minorHAnsi" w:hAnsiTheme="minorHAnsi" w:cstheme="minorHAnsi"/>
          <w:color w:val="000000" w:themeColor="text1"/>
          <w:sz w:val="22"/>
          <w:szCs w:val="22"/>
        </w:rPr>
        <w:t xml:space="preserve"> </w:t>
      </w:r>
      <w:r w:rsidRPr="002129AA">
        <w:rPr>
          <w:rFonts w:asciiTheme="minorHAnsi" w:hAnsiTheme="minorHAnsi" w:cstheme="minorHAnsi"/>
          <w:b/>
          <w:color w:val="000000" w:themeColor="text1"/>
          <w:sz w:val="22"/>
          <w:szCs w:val="22"/>
        </w:rPr>
        <w:t xml:space="preserve">The program </w:t>
      </w:r>
      <w:r>
        <w:rPr>
          <w:rFonts w:asciiTheme="minorHAnsi" w:hAnsiTheme="minorHAnsi" w:cstheme="minorHAnsi"/>
          <w:b/>
          <w:color w:val="000000" w:themeColor="text1"/>
          <w:sz w:val="22"/>
          <w:szCs w:val="22"/>
        </w:rPr>
        <w:t>outcome measure provides</w:t>
      </w:r>
      <w:r w:rsidRPr="002129AA">
        <w:rPr>
          <w:rFonts w:asciiTheme="minorHAnsi" w:hAnsiTheme="minorHAnsi" w:cstheme="minorHAnsi"/>
          <w:b/>
          <w:color w:val="000000" w:themeColor="text1"/>
          <w:sz w:val="22"/>
          <w:szCs w:val="22"/>
        </w:rPr>
        <w:t xml:space="preserve"> the information for the 150% indicator and the 100% indicator.  </w:t>
      </w:r>
    </w:p>
    <w:p w14:paraId="701A4B35" w14:textId="3EC29DBC" w:rsidR="004E2E7A" w:rsidRPr="002129AA" w:rsidRDefault="004E2E7A" w:rsidP="004E2E7A">
      <w:pPr>
        <w:spacing w:after="240"/>
        <w:rPr>
          <w:rFonts w:asciiTheme="minorHAnsi" w:hAnsiTheme="minorHAnsi" w:cs="Arial"/>
          <w:color w:val="000000" w:themeColor="text1"/>
          <w:sz w:val="22"/>
          <w:szCs w:val="22"/>
        </w:rPr>
      </w:pPr>
    </w:p>
    <w:tbl>
      <w:tblPr>
        <w:tblStyle w:val="TableGrid1"/>
        <w:tblW w:w="5000" w:type="pct"/>
        <w:tblLook w:val="04A0" w:firstRow="1" w:lastRow="0" w:firstColumn="1" w:lastColumn="0" w:noHBand="0" w:noVBand="1"/>
      </w:tblPr>
      <w:tblGrid>
        <w:gridCol w:w="2515"/>
        <w:gridCol w:w="2990"/>
        <w:gridCol w:w="3845"/>
      </w:tblGrid>
      <w:tr w:rsidR="004E2E7A" w:rsidRPr="002129AA" w14:paraId="369D50F6" w14:textId="77777777" w:rsidTr="00081041">
        <w:tc>
          <w:tcPr>
            <w:tcW w:w="1345" w:type="pct"/>
          </w:tcPr>
          <w:p w14:paraId="3BC436C0" w14:textId="77777777" w:rsidR="004E2E7A" w:rsidRPr="001B5D4C" w:rsidRDefault="004E2E7A" w:rsidP="00081041">
            <w:pPr>
              <w:spacing w:before="60" w:after="60"/>
              <w:jc w:val="center"/>
              <w:rPr>
                <w:rFonts w:asciiTheme="minorHAnsi" w:hAnsiTheme="minorHAnsi"/>
                <w:b/>
                <w:color w:val="000000" w:themeColor="text1"/>
                <w:sz w:val="22"/>
                <w:szCs w:val="22"/>
              </w:rPr>
            </w:pPr>
            <w:r w:rsidRPr="001B5D4C">
              <w:rPr>
                <w:rFonts w:asciiTheme="minorHAnsi" w:hAnsiTheme="minorHAnsi"/>
                <w:b/>
                <w:color w:val="000000" w:themeColor="text1"/>
                <w:sz w:val="22"/>
                <w:szCs w:val="22"/>
              </w:rPr>
              <w:t>Academic year in which a Fall cohort of full-time students enrolled at the institution (select three sequential years)</w:t>
            </w:r>
          </w:p>
        </w:tc>
        <w:tc>
          <w:tcPr>
            <w:tcW w:w="1599" w:type="pct"/>
          </w:tcPr>
          <w:p w14:paraId="71753F62" w14:textId="77777777" w:rsidR="004E2E7A" w:rsidRPr="001B5D4C" w:rsidRDefault="004E2E7A" w:rsidP="00081041">
            <w:pPr>
              <w:spacing w:before="60" w:after="60"/>
              <w:jc w:val="center"/>
              <w:rPr>
                <w:rFonts w:asciiTheme="minorHAnsi" w:hAnsiTheme="minorHAnsi"/>
                <w:b/>
                <w:color w:val="000000" w:themeColor="text1"/>
                <w:sz w:val="22"/>
                <w:szCs w:val="22"/>
              </w:rPr>
            </w:pPr>
            <w:r w:rsidRPr="001B5D4C">
              <w:rPr>
                <w:rFonts w:asciiTheme="minorHAnsi" w:hAnsiTheme="minorHAnsi"/>
                <w:b/>
                <w:color w:val="000000" w:themeColor="text1"/>
                <w:sz w:val="22"/>
                <w:szCs w:val="22"/>
              </w:rPr>
              <w:t>Percentage of those students who completed the program within 150% of the published timeframe</w:t>
            </w:r>
          </w:p>
        </w:tc>
        <w:tc>
          <w:tcPr>
            <w:tcW w:w="2056" w:type="pct"/>
          </w:tcPr>
          <w:p w14:paraId="3A0D986D" w14:textId="5D2B037E" w:rsidR="004E2E7A" w:rsidRPr="001B5D4C" w:rsidRDefault="004E2E7A" w:rsidP="00081041">
            <w:pPr>
              <w:spacing w:before="60" w:after="60"/>
              <w:jc w:val="center"/>
              <w:rPr>
                <w:rFonts w:asciiTheme="minorHAnsi" w:hAnsiTheme="minorHAnsi"/>
                <w:b/>
                <w:color w:val="000000" w:themeColor="text1"/>
                <w:sz w:val="22"/>
                <w:szCs w:val="22"/>
              </w:rPr>
            </w:pPr>
            <w:r w:rsidRPr="001B5D4C">
              <w:rPr>
                <w:rFonts w:asciiTheme="minorHAnsi" w:hAnsiTheme="minorHAnsi"/>
                <w:b/>
                <w:color w:val="000000" w:themeColor="text1"/>
                <w:sz w:val="22"/>
                <w:szCs w:val="22"/>
              </w:rPr>
              <w:t xml:space="preserve">Percentage of those students who completed the program within </w:t>
            </w:r>
            <w:bookmarkStart w:id="0" w:name="_GoBack"/>
            <w:r w:rsidRPr="00982F21">
              <w:rPr>
                <w:rFonts w:asciiTheme="minorHAnsi" w:hAnsiTheme="minorHAnsi"/>
                <w:b/>
                <w:color w:val="000000" w:themeColor="text1"/>
                <w:sz w:val="22"/>
                <w:szCs w:val="22"/>
              </w:rPr>
              <w:t>100%</w:t>
            </w:r>
            <w:bookmarkEnd w:id="0"/>
            <w:r w:rsidRPr="001B5D4C">
              <w:rPr>
                <w:rFonts w:asciiTheme="minorHAnsi" w:hAnsiTheme="minorHAnsi"/>
                <w:b/>
                <w:color w:val="000000" w:themeColor="text1"/>
                <w:sz w:val="22"/>
                <w:szCs w:val="22"/>
              </w:rPr>
              <w:t xml:space="preserve"> of the published timeframe</w:t>
            </w:r>
          </w:p>
        </w:tc>
      </w:tr>
      <w:tr w:rsidR="004E2E7A" w:rsidRPr="002129AA" w14:paraId="6CF76E6F" w14:textId="77777777" w:rsidTr="00081041">
        <w:tc>
          <w:tcPr>
            <w:tcW w:w="1345" w:type="pct"/>
            <w:vAlign w:val="center"/>
          </w:tcPr>
          <w:p w14:paraId="4C37AC28" w14:textId="77777777" w:rsidR="004E2E7A" w:rsidRPr="002129AA" w:rsidRDefault="004E2E7A" w:rsidP="00081041">
            <w:pPr>
              <w:spacing w:before="60" w:after="60"/>
              <w:jc w:val="center"/>
              <w:rPr>
                <w:rFonts w:asciiTheme="minorHAnsi" w:hAnsiTheme="minorHAnsi"/>
                <w:sz w:val="22"/>
                <w:szCs w:val="22"/>
              </w:rPr>
            </w:pPr>
            <w:r w:rsidRPr="002129AA">
              <w:rPr>
                <w:rFonts w:ascii="Calibri" w:hAnsi="Calibri" w:cs="Calibri"/>
                <w:sz w:val="22"/>
                <w:szCs w:val="22"/>
              </w:rPr>
              <w:t>2014FA (none)</w:t>
            </w:r>
          </w:p>
        </w:tc>
        <w:tc>
          <w:tcPr>
            <w:tcW w:w="1599" w:type="pct"/>
            <w:vAlign w:val="center"/>
          </w:tcPr>
          <w:p w14:paraId="0ED45C9E" w14:textId="77777777" w:rsidR="004E2E7A" w:rsidRPr="002129AA" w:rsidRDefault="004E2E7A" w:rsidP="00081041">
            <w:pPr>
              <w:spacing w:before="60" w:after="60"/>
              <w:jc w:val="center"/>
              <w:rPr>
                <w:rFonts w:asciiTheme="minorHAnsi" w:hAnsiTheme="minorHAnsi"/>
                <w:sz w:val="22"/>
                <w:szCs w:val="22"/>
              </w:rPr>
            </w:pPr>
            <w:r w:rsidRPr="002129AA">
              <w:rPr>
                <w:rFonts w:ascii="Calibri" w:hAnsi="Calibri" w:cs="Calibri"/>
                <w:sz w:val="22"/>
                <w:szCs w:val="22"/>
              </w:rPr>
              <w:t>N/A</w:t>
            </w:r>
          </w:p>
        </w:tc>
        <w:tc>
          <w:tcPr>
            <w:tcW w:w="2056" w:type="pct"/>
            <w:vAlign w:val="center"/>
          </w:tcPr>
          <w:p w14:paraId="03F1C3F6" w14:textId="77777777" w:rsidR="004E2E7A" w:rsidRPr="002129AA" w:rsidRDefault="004E2E7A" w:rsidP="00081041">
            <w:pPr>
              <w:spacing w:before="60" w:after="60"/>
              <w:jc w:val="center"/>
              <w:rPr>
                <w:rFonts w:asciiTheme="minorHAnsi" w:hAnsiTheme="minorHAnsi"/>
                <w:sz w:val="22"/>
                <w:szCs w:val="22"/>
              </w:rPr>
            </w:pPr>
            <w:r w:rsidRPr="002129AA">
              <w:rPr>
                <w:rFonts w:ascii="Calibri" w:hAnsi="Calibri" w:cs="Calibri"/>
                <w:sz w:val="22"/>
                <w:szCs w:val="22"/>
              </w:rPr>
              <w:t>N/A</w:t>
            </w:r>
          </w:p>
        </w:tc>
      </w:tr>
      <w:tr w:rsidR="004E2E7A" w:rsidRPr="002129AA" w14:paraId="6BF1BA2A" w14:textId="77777777" w:rsidTr="00081041">
        <w:tc>
          <w:tcPr>
            <w:tcW w:w="1345" w:type="pct"/>
            <w:vAlign w:val="center"/>
          </w:tcPr>
          <w:p w14:paraId="6B548FC2" w14:textId="77777777" w:rsidR="004E2E7A" w:rsidRPr="002129AA" w:rsidRDefault="004E2E7A" w:rsidP="00081041">
            <w:pPr>
              <w:spacing w:before="60" w:after="60"/>
              <w:jc w:val="center"/>
              <w:rPr>
                <w:rFonts w:asciiTheme="minorHAnsi" w:hAnsiTheme="minorHAnsi"/>
                <w:sz w:val="22"/>
                <w:szCs w:val="22"/>
              </w:rPr>
            </w:pPr>
            <w:r w:rsidRPr="002129AA">
              <w:rPr>
                <w:rFonts w:ascii="Calibri" w:hAnsi="Calibri" w:cs="Calibri"/>
                <w:sz w:val="22"/>
                <w:szCs w:val="22"/>
              </w:rPr>
              <w:t>2013FA</w:t>
            </w:r>
          </w:p>
        </w:tc>
        <w:tc>
          <w:tcPr>
            <w:tcW w:w="1599" w:type="pct"/>
            <w:vAlign w:val="center"/>
          </w:tcPr>
          <w:p w14:paraId="261BF3FF" w14:textId="77777777" w:rsidR="004E2E7A" w:rsidRPr="002129AA" w:rsidRDefault="004E2E7A" w:rsidP="00081041">
            <w:pPr>
              <w:spacing w:before="60" w:after="60"/>
              <w:jc w:val="center"/>
              <w:rPr>
                <w:rFonts w:asciiTheme="minorHAnsi" w:hAnsiTheme="minorHAnsi"/>
                <w:sz w:val="22"/>
                <w:szCs w:val="22"/>
              </w:rPr>
            </w:pPr>
            <w:r w:rsidRPr="002129AA">
              <w:rPr>
                <w:rFonts w:ascii="Calibri" w:hAnsi="Calibri" w:cs="Calibri"/>
                <w:sz w:val="22"/>
                <w:szCs w:val="22"/>
              </w:rPr>
              <w:t>N/A</w:t>
            </w:r>
          </w:p>
        </w:tc>
        <w:tc>
          <w:tcPr>
            <w:tcW w:w="2056" w:type="pct"/>
            <w:vAlign w:val="center"/>
          </w:tcPr>
          <w:p w14:paraId="196C547B" w14:textId="77777777" w:rsidR="004E2E7A" w:rsidRPr="002129AA" w:rsidRDefault="004E2E7A" w:rsidP="00081041">
            <w:pPr>
              <w:spacing w:before="60" w:after="60"/>
              <w:jc w:val="center"/>
              <w:rPr>
                <w:rFonts w:asciiTheme="minorHAnsi" w:hAnsiTheme="minorHAnsi"/>
                <w:sz w:val="22"/>
                <w:szCs w:val="22"/>
              </w:rPr>
            </w:pPr>
            <w:r>
              <w:rPr>
                <w:rFonts w:asciiTheme="minorHAnsi" w:hAnsiTheme="minorHAnsi"/>
                <w:sz w:val="22"/>
                <w:szCs w:val="22"/>
              </w:rPr>
              <w:t>N/A</w:t>
            </w:r>
          </w:p>
        </w:tc>
      </w:tr>
      <w:tr w:rsidR="004E2E7A" w:rsidRPr="002129AA" w14:paraId="041E7E96" w14:textId="77777777" w:rsidTr="00081041">
        <w:tc>
          <w:tcPr>
            <w:tcW w:w="1345" w:type="pct"/>
            <w:vAlign w:val="center"/>
          </w:tcPr>
          <w:p w14:paraId="337FC20A" w14:textId="77777777" w:rsidR="004E2E7A" w:rsidRPr="002129AA" w:rsidRDefault="004E2E7A" w:rsidP="00081041">
            <w:pPr>
              <w:spacing w:before="60" w:after="60"/>
              <w:jc w:val="center"/>
              <w:rPr>
                <w:rFonts w:asciiTheme="minorHAnsi" w:hAnsiTheme="minorHAnsi"/>
                <w:sz w:val="22"/>
                <w:szCs w:val="22"/>
              </w:rPr>
            </w:pPr>
            <w:r w:rsidRPr="002129AA">
              <w:rPr>
                <w:rFonts w:ascii="Calibri" w:hAnsi="Calibri" w:cs="Calibri"/>
                <w:sz w:val="22"/>
                <w:szCs w:val="22"/>
              </w:rPr>
              <w:t>2012FA</w:t>
            </w:r>
          </w:p>
        </w:tc>
        <w:tc>
          <w:tcPr>
            <w:tcW w:w="1599" w:type="pct"/>
            <w:vAlign w:val="center"/>
          </w:tcPr>
          <w:p w14:paraId="4743B8F2" w14:textId="77777777" w:rsidR="004E2E7A" w:rsidRPr="002129AA" w:rsidRDefault="004E2E7A" w:rsidP="00081041">
            <w:pPr>
              <w:spacing w:before="60" w:after="60"/>
              <w:jc w:val="center"/>
              <w:rPr>
                <w:rFonts w:asciiTheme="minorHAnsi" w:hAnsiTheme="minorHAnsi"/>
                <w:sz w:val="22"/>
                <w:szCs w:val="22"/>
              </w:rPr>
            </w:pPr>
            <w:r w:rsidRPr="002129AA">
              <w:rPr>
                <w:rFonts w:ascii="Calibri" w:hAnsi="Calibri" w:cs="Calibri"/>
                <w:sz w:val="22"/>
                <w:szCs w:val="22"/>
              </w:rPr>
              <w:t>100%</w:t>
            </w:r>
          </w:p>
        </w:tc>
        <w:tc>
          <w:tcPr>
            <w:tcW w:w="2056" w:type="pct"/>
            <w:vAlign w:val="center"/>
          </w:tcPr>
          <w:p w14:paraId="0C1B086A" w14:textId="77777777" w:rsidR="004E2E7A" w:rsidRPr="002129AA" w:rsidRDefault="004E2E7A" w:rsidP="00081041">
            <w:pPr>
              <w:spacing w:before="60" w:after="60"/>
              <w:jc w:val="center"/>
              <w:rPr>
                <w:rFonts w:asciiTheme="minorHAnsi" w:hAnsiTheme="minorHAnsi"/>
                <w:sz w:val="22"/>
                <w:szCs w:val="22"/>
              </w:rPr>
            </w:pPr>
            <w:r w:rsidRPr="002129AA">
              <w:rPr>
                <w:rFonts w:ascii="Calibri" w:hAnsi="Calibri" w:cs="Calibri"/>
                <w:sz w:val="22"/>
                <w:szCs w:val="22"/>
              </w:rPr>
              <w:t>100%</w:t>
            </w:r>
          </w:p>
        </w:tc>
      </w:tr>
    </w:tbl>
    <w:p w14:paraId="20EAFD30" w14:textId="254C1FEE" w:rsidR="004E2E7A" w:rsidRPr="004E2E7A" w:rsidRDefault="004E2E7A" w:rsidP="004E2E7A">
      <w:pPr>
        <w:pStyle w:val="NormalWeb"/>
        <w:rPr>
          <w:rFonts w:asciiTheme="minorHAnsi" w:eastAsia="Times New Roman" w:hAnsiTheme="minorHAnsi" w:cstheme="minorHAnsi"/>
          <w:color w:val="000000"/>
          <w:sz w:val="22"/>
          <w:szCs w:val="22"/>
          <w:lang w:eastAsia="en-US"/>
        </w:rPr>
      </w:pPr>
      <w:r w:rsidRPr="004E2E7A">
        <w:rPr>
          <w:rFonts w:asciiTheme="minorHAnsi" w:eastAsia="Times New Roman" w:hAnsiTheme="minorHAnsi" w:cstheme="minorHAnsi"/>
          <w:color w:val="000000"/>
          <w:sz w:val="22"/>
          <w:szCs w:val="22"/>
          <w:lang w:eastAsia="en-US"/>
        </w:rPr>
        <w:t xml:space="preserve">EC degree candidates are non-traditional students generally enrolled in nine units per semester and are considered part-time. To be considered full-time, </w:t>
      </w:r>
      <w:r>
        <w:rPr>
          <w:rFonts w:asciiTheme="minorHAnsi" w:eastAsia="Times New Roman" w:hAnsiTheme="minorHAnsi" w:cstheme="minorHAnsi"/>
          <w:color w:val="000000"/>
          <w:sz w:val="22"/>
          <w:szCs w:val="22"/>
          <w:lang w:eastAsia="en-US"/>
        </w:rPr>
        <w:t xml:space="preserve">students </w:t>
      </w:r>
      <w:r w:rsidRPr="004E2E7A">
        <w:rPr>
          <w:rFonts w:asciiTheme="minorHAnsi" w:eastAsia="Times New Roman" w:hAnsiTheme="minorHAnsi" w:cstheme="minorHAnsi"/>
          <w:color w:val="000000"/>
          <w:sz w:val="22"/>
          <w:szCs w:val="22"/>
          <w:lang w:eastAsia="en-US"/>
        </w:rPr>
        <w:t xml:space="preserve">need to enroll in 12 units per semester. </w:t>
      </w:r>
      <w:r>
        <w:rPr>
          <w:rFonts w:asciiTheme="minorHAnsi" w:eastAsia="Times New Roman" w:hAnsiTheme="minorHAnsi" w:cstheme="minorHAnsi"/>
          <w:color w:val="000000"/>
          <w:sz w:val="22"/>
          <w:szCs w:val="22"/>
          <w:lang w:eastAsia="en-US"/>
        </w:rPr>
        <w:t xml:space="preserve">Yet, </w:t>
      </w:r>
      <w:r w:rsidRPr="004E2E7A">
        <w:rPr>
          <w:rFonts w:asciiTheme="minorHAnsi" w:eastAsia="Times New Roman" w:hAnsiTheme="minorHAnsi" w:cstheme="minorHAnsi"/>
          <w:color w:val="000000"/>
          <w:sz w:val="22"/>
          <w:szCs w:val="22"/>
          <w:lang w:eastAsia="en-US"/>
        </w:rPr>
        <w:t xml:space="preserve">EC degree candidates enrolled part time for three consecutive terms per year may complete 18-27 units per year, whereas a traditional full-time student will </w:t>
      </w:r>
      <w:r>
        <w:rPr>
          <w:rFonts w:asciiTheme="minorHAnsi" w:eastAsia="Times New Roman" w:hAnsiTheme="minorHAnsi" w:cstheme="minorHAnsi"/>
          <w:color w:val="000000"/>
          <w:sz w:val="22"/>
          <w:szCs w:val="22"/>
          <w:lang w:eastAsia="en-US"/>
        </w:rPr>
        <w:t xml:space="preserve">generally </w:t>
      </w:r>
      <w:r w:rsidRPr="004E2E7A">
        <w:rPr>
          <w:rFonts w:asciiTheme="minorHAnsi" w:eastAsia="Times New Roman" w:hAnsiTheme="minorHAnsi" w:cstheme="minorHAnsi"/>
          <w:color w:val="000000"/>
          <w:sz w:val="22"/>
          <w:szCs w:val="22"/>
          <w:lang w:eastAsia="en-US"/>
        </w:rPr>
        <w:t>complete 24-36 units per year.</w:t>
      </w:r>
    </w:p>
    <w:p w14:paraId="71FFD2DB" w14:textId="77777777" w:rsidR="004E2E7A" w:rsidRDefault="004E2E7A" w:rsidP="004E2E7A">
      <w:pPr>
        <w:rPr>
          <w:rFonts w:asciiTheme="minorHAnsi" w:hAnsiTheme="minorHAnsi" w:cs="Arial"/>
          <w:b/>
          <w:color w:val="000000" w:themeColor="text1"/>
          <w:u w:val="single"/>
        </w:rPr>
      </w:pPr>
      <w:r>
        <w:rPr>
          <w:rFonts w:asciiTheme="minorHAnsi" w:hAnsiTheme="minorHAnsi" w:cs="Arial"/>
          <w:b/>
          <w:color w:val="000000" w:themeColor="text1"/>
          <w:u w:val="single"/>
        </w:rPr>
        <w:br w:type="page"/>
      </w:r>
    </w:p>
    <w:p w14:paraId="7E491324" w14:textId="77777777" w:rsidR="004E2E7A" w:rsidRPr="005C03BD" w:rsidRDefault="004E2E7A" w:rsidP="004E2E7A">
      <w:pPr>
        <w:spacing w:after="240"/>
        <w:rPr>
          <w:rFonts w:asciiTheme="minorHAnsi" w:hAnsiTheme="minorHAnsi" w:cs="Arial"/>
          <w:b/>
          <w:color w:val="000000" w:themeColor="text1"/>
          <w:u w:val="single"/>
        </w:rPr>
      </w:pPr>
      <w:r w:rsidRPr="005C03BD">
        <w:rPr>
          <w:rFonts w:asciiTheme="minorHAnsi" w:hAnsiTheme="minorHAnsi" w:cs="Arial"/>
          <w:b/>
          <w:color w:val="000000" w:themeColor="text1"/>
          <w:u w:val="single"/>
        </w:rPr>
        <w:lastRenderedPageBreak/>
        <w:t>Outcome Measure #3:  Institutional Selected Data</w:t>
      </w:r>
    </w:p>
    <w:p w14:paraId="212B0BD5" w14:textId="77777777" w:rsidR="004E2E7A" w:rsidRPr="00C85A02" w:rsidRDefault="004E2E7A" w:rsidP="004E2E7A">
      <w:pPr>
        <w:spacing w:after="200" w:line="276" w:lineRule="atLeast"/>
        <w:ind w:left="720"/>
        <w:contextualSpacing/>
        <w:rPr>
          <w:rFonts w:asciiTheme="minorHAnsi" w:hAnsiTheme="minorHAnsi" w:cs="Arial"/>
          <w:b/>
          <w:color w:val="000000" w:themeColor="text1"/>
          <w:sz w:val="22"/>
          <w:szCs w:val="22"/>
        </w:rPr>
      </w:pPr>
    </w:p>
    <w:p w14:paraId="17C0D62A" w14:textId="77777777" w:rsidR="004E2E7A" w:rsidRDefault="004E2E7A" w:rsidP="004E2E7A">
      <w:pPr>
        <w:spacing w:after="200" w:line="276" w:lineRule="atLeast"/>
        <w:ind w:left="540"/>
        <w:contextualSpacing/>
        <w:rPr>
          <w:rFonts w:asciiTheme="minorHAnsi" w:hAnsiTheme="minorHAnsi" w:cs="Arial"/>
          <w:b/>
          <w:color w:val="000000" w:themeColor="text1"/>
          <w:sz w:val="22"/>
          <w:szCs w:val="22"/>
        </w:rPr>
      </w:pPr>
      <w:r>
        <w:rPr>
          <w:rFonts w:asciiTheme="minorHAnsi" w:hAnsiTheme="minorHAnsi" w:cs="Arial"/>
          <w:b/>
          <w:color w:val="000000" w:themeColor="text1"/>
          <w:sz w:val="22"/>
          <w:szCs w:val="22"/>
        </w:rPr>
        <w:t>This i</w:t>
      </w:r>
      <w:r w:rsidRPr="00C85A02">
        <w:rPr>
          <w:rFonts w:asciiTheme="minorHAnsi" w:hAnsiTheme="minorHAnsi" w:cs="Arial"/>
          <w:b/>
          <w:color w:val="000000" w:themeColor="text1"/>
          <w:sz w:val="22"/>
          <w:szCs w:val="22"/>
        </w:rPr>
        <w:t xml:space="preserve">nstitutionally designed </w:t>
      </w:r>
      <w:r>
        <w:rPr>
          <w:rFonts w:asciiTheme="minorHAnsi" w:hAnsiTheme="minorHAnsi" w:cs="Arial"/>
          <w:b/>
          <w:color w:val="000000" w:themeColor="text1"/>
          <w:sz w:val="22"/>
          <w:szCs w:val="22"/>
        </w:rPr>
        <w:t>measure</w:t>
      </w:r>
      <w:r w:rsidRPr="00C85A02">
        <w:rPr>
          <w:rFonts w:asciiTheme="minorHAnsi" w:hAnsiTheme="minorHAnsi" w:cs="Arial"/>
          <w:b/>
          <w:color w:val="000000" w:themeColor="text1"/>
          <w:sz w:val="22"/>
          <w:szCs w:val="22"/>
        </w:rPr>
        <w:t xml:space="preserve"> speak</w:t>
      </w:r>
      <w:r>
        <w:rPr>
          <w:rFonts w:asciiTheme="minorHAnsi" w:hAnsiTheme="minorHAnsi" w:cs="Arial"/>
          <w:b/>
          <w:color w:val="000000" w:themeColor="text1"/>
          <w:sz w:val="22"/>
          <w:szCs w:val="22"/>
        </w:rPr>
        <w:t>s</w:t>
      </w:r>
      <w:r w:rsidRPr="00C85A02">
        <w:rPr>
          <w:rFonts w:asciiTheme="minorHAnsi" w:hAnsiTheme="minorHAnsi" w:cs="Arial"/>
          <w:b/>
          <w:color w:val="000000" w:themeColor="text1"/>
          <w:sz w:val="22"/>
          <w:szCs w:val="22"/>
        </w:rPr>
        <w:t xml:space="preserve"> to candidate outcomes in the program</w:t>
      </w:r>
      <w:r>
        <w:rPr>
          <w:rFonts w:asciiTheme="minorHAnsi" w:hAnsiTheme="minorHAnsi" w:cs="Arial"/>
          <w:b/>
          <w:color w:val="000000" w:themeColor="text1"/>
          <w:sz w:val="22"/>
          <w:szCs w:val="22"/>
        </w:rPr>
        <w:t>.</w:t>
      </w:r>
      <w:r w:rsidRPr="00C85A02">
        <w:rPr>
          <w:rFonts w:asciiTheme="minorHAnsi" w:hAnsiTheme="minorHAnsi" w:cs="Arial"/>
          <w:b/>
          <w:color w:val="000000" w:themeColor="text1"/>
          <w:sz w:val="22"/>
          <w:szCs w:val="22"/>
        </w:rPr>
        <w:t xml:space="preserve"> The data reported </w:t>
      </w:r>
      <w:r>
        <w:rPr>
          <w:rFonts w:asciiTheme="minorHAnsi" w:hAnsiTheme="minorHAnsi" w:cs="Arial"/>
          <w:b/>
          <w:color w:val="000000" w:themeColor="text1"/>
          <w:sz w:val="22"/>
          <w:szCs w:val="22"/>
        </w:rPr>
        <w:t xml:space="preserve">is </w:t>
      </w:r>
      <w:r w:rsidRPr="00C85A02">
        <w:rPr>
          <w:rFonts w:asciiTheme="minorHAnsi" w:hAnsiTheme="minorHAnsi" w:cs="Arial"/>
          <w:b/>
          <w:color w:val="000000" w:themeColor="text1"/>
          <w:sz w:val="22"/>
          <w:szCs w:val="22"/>
        </w:rPr>
        <w:t xml:space="preserve">for the most recent three academic years. </w:t>
      </w:r>
      <w:r>
        <w:rPr>
          <w:rFonts w:asciiTheme="minorHAnsi" w:hAnsiTheme="minorHAnsi" w:cs="Arial"/>
          <w:b/>
          <w:color w:val="000000" w:themeColor="text1"/>
          <w:sz w:val="22"/>
          <w:szCs w:val="22"/>
        </w:rPr>
        <w:t xml:space="preserve">This </w:t>
      </w:r>
      <w:r w:rsidRPr="00C85A02">
        <w:rPr>
          <w:rFonts w:asciiTheme="minorHAnsi" w:hAnsiTheme="minorHAnsi" w:cs="Arial"/>
          <w:b/>
          <w:color w:val="000000" w:themeColor="text1"/>
          <w:sz w:val="22"/>
          <w:szCs w:val="22"/>
        </w:rPr>
        <w:t>measure include</w:t>
      </w:r>
      <w:r>
        <w:rPr>
          <w:rFonts w:asciiTheme="minorHAnsi" w:hAnsiTheme="minorHAnsi" w:cs="Arial"/>
          <w:b/>
          <w:color w:val="000000" w:themeColor="text1"/>
          <w:sz w:val="22"/>
          <w:szCs w:val="22"/>
        </w:rPr>
        <w:t>s</w:t>
      </w:r>
      <w:r w:rsidRPr="00C85A02">
        <w:rPr>
          <w:rFonts w:asciiTheme="minorHAnsi" w:hAnsiTheme="minorHAnsi" w:cs="Arial"/>
          <w:b/>
          <w:color w:val="000000" w:themeColor="text1"/>
          <w:sz w:val="22"/>
          <w:szCs w:val="22"/>
        </w:rPr>
        <w:t xml:space="preserve"> the average GPA of the graduating class.</w:t>
      </w:r>
    </w:p>
    <w:p w14:paraId="1051D236" w14:textId="113E2291" w:rsidR="004E2E7A" w:rsidRPr="00B06869" w:rsidRDefault="004E2E7A" w:rsidP="004E2E7A">
      <w:pPr>
        <w:spacing w:after="200" w:line="276" w:lineRule="atLeast"/>
        <w:ind w:left="540"/>
        <w:contextualSpacing/>
        <w:rPr>
          <w:rFonts w:asciiTheme="minorHAnsi" w:hAnsiTheme="minorHAnsi"/>
          <w:b/>
          <w:color w:val="000000" w:themeColor="text1"/>
          <w:sz w:val="22"/>
          <w:szCs w:val="22"/>
        </w:rPr>
      </w:pPr>
      <w:r w:rsidRPr="00C85A02">
        <w:rPr>
          <w:rFonts w:asciiTheme="minorHAnsi" w:hAnsiTheme="minorHAnsi" w:cs="Arial"/>
          <w:b/>
          <w:color w:val="000000" w:themeColor="text1"/>
          <w:sz w:val="22"/>
          <w:szCs w:val="22"/>
        </w:rPr>
        <w:t xml:space="preserve"> </w:t>
      </w:r>
    </w:p>
    <w:tbl>
      <w:tblPr>
        <w:tblStyle w:val="TableGrid1"/>
        <w:tblW w:w="5000" w:type="pct"/>
        <w:tblLook w:val="04A0" w:firstRow="1" w:lastRow="0" w:firstColumn="1" w:lastColumn="0" w:noHBand="0" w:noVBand="1"/>
      </w:tblPr>
      <w:tblGrid>
        <w:gridCol w:w="3118"/>
        <w:gridCol w:w="3115"/>
        <w:gridCol w:w="3117"/>
      </w:tblGrid>
      <w:tr w:rsidR="004E2E7A" w:rsidRPr="00C85A02" w14:paraId="31DBD68C" w14:textId="77777777" w:rsidTr="00081041">
        <w:tc>
          <w:tcPr>
            <w:tcW w:w="1667" w:type="pct"/>
          </w:tcPr>
          <w:p w14:paraId="2DFA0FB3" w14:textId="77777777" w:rsidR="004E2E7A" w:rsidRPr="00D752DD" w:rsidRDefault="004E2E7A" w:rsidP="00081041">
            <w:pPr>
              <w:spacing w:after="200" w:line="276" w:lineRule="atLeast"/>
              <w:contextualSpacing/>
              <w:jc w:val="center"/>
              <w:rPr>
                <w:rFonts w:asciiTheme="minorHAnsi" w:hAnsiTheme="minorHAnsi"/>
                <w:b/>
                <w:color w:val="000000" w:themeColor="text1"/>
                <w:sz w:val="22"/>
                <w:szCs w:val="22"/>
              </w:rPr>
            </w:pPr>
            <w:r w:rsidRPr="00D752DD">
              <w:rPr>
                <w:rFonts w:asciiTheme="minorHAnsi" w:hAnsiTheme="minorHAnsi"/>
                <w:b/>
                <w:color w:val="000000" w:themeColor="text1"/>
                <w:sz w:val="22"/>
                <w:szCs w:val="22"/>
              </w:rPr>
              <w:t>Academic Year</w:t>
            </w:r>
          </w:p>
        </w:tc>
        <w:tc>
          <w:tcPr>
            <w:tcW w:w="1666" w:type="pct"/>
          </w:tcPr>
          <w:p w14:paraId="6D3914B3" w14:textId="77777777" w:rsidR="004E2E7A" w:rsidRPr="00D752DD" w:rsidRDefault="004E2E7A" w:rsidP="00081041">
            <w:pPr>
              <w:spacing w:after="200" w:line="276" w:lineRule="atLeast"/>
              <w:contextualSpacing/>
              <w:jc w:val="center"/>
              <w:rPr>
                <w:rFonts w:asciiTheme="minorHAnsi" w:hAnsiTheme="minorHAnsi"/>
                <w:b/>
                <w:color w:val="000000" w:themeColor="text1"/>
                <w:sz w:val="22"/>
                <w:szCs w:val="22"/>
              </w:rPr>
            </w:pPr>
            <w:r w:rsidRPr="00D752DD">
              <w:rPr>
                <w:rFonts w:asciiTheme="minorHAnsi" w:hAnsiTheme="minorHAnsi"/>
                <w:b/>
                <w:color w:val="000000" w:themeColor="text1"/>
                <w:sz w:val="22"/>
                <w:szCs w:val="22"/>
              </w:rPr>
              <w:t>Outcome Measure</w:t>
            </w:r>
          </w:p>
        </w:tc>
        <w:tc>
          <w:tcPr>
            <w:tcW w:w="1667" w:type="pct"/>
          </w:tcPr>
          <w:p w14:paraId="41DC0C97" w14:textId="77777777" w:rsidR="004E2E7A" w:rsidRPr="00D752DD" w:rsidRDefault="004E2E7A" w:rsidP="00081041">
            <w:pPr>
              <w:spacing w:after="200" w:line="276" w:lineRule="atLeast"/>
              <w:contextualSpacing/>
              <w:jc w:val="center"/>
              <w:rPr>
                <w:rFonts w:asciiTheme="minorHAnsi" w:hAnsiTheme="minorHAnsi"/>
                <w:b/>
                <w:color w:val="000000" w:themeColor="text1"/>
                <w:sz w:val="22"/>
                <w:szCs w:val="22"/>
              </w:rPr>
            </w:pPr>
            <w:r w:rsidRPr="00D752DD">
              <w:rPr>
                <w:rFonts w:asciiTheme="minorHAnsi" w:hAnsiTheme="minorHAnsi"/>
                <w:b/>
                <w:color w:val="000000" w:themeColor="text1"/>
                <w:sz w:val="22"/>
                <w:szCs w:val="22"/>
              </w:rPr>
              <w:t>Performance Data</w:t>
            </w:r>
          </w:p>
        </w:tc>
      </w:tr>
      <w:tr w:rsidR="004E2E7A" w:rsidRPr="00C85A02" w14:paraId="1A2E8548" w14:textId="77777777" w:rsidTr="00081041">
        <w:tc>
          <w:tcPr>
            <w:tcW w:w="1667" w:type="pct"/>
          </w:tcPr>
          <w:p w14:paraId="59C27C98" w14:textId="77777777" w:rsidR="004E2E7A" w:rsidRPr="00C85A02" w:rsidRDefault="004E2E7A" w:rsidP="00081041">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2017-2018</w:t>
            </w:r>
          </w:p>
        </w:tc>
        <w:tc>
          <w:tcPr>
            <w:tcW w:w="1666" w:type="pct"/>
          </w:tcPr>
          <w:p w14:paraId="1532B4DA" w14:textId="77777777" w:rsidR="004E2E7A" w:rsidRPr="00C85A02" w:rsidRDefault="004E2E7A" w:rsidP="00081041">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Average GPA of Graduating Class</w:t>
            </w:r>
          </w:p>
        </w:tc>
        <w:tc>
          <w:tcPr>
            <w:tcW w:w="1667" w:type="pct"/>
          </w:tcPr>
          <w:p w14:paraId="5550DCAC" w14:textId="77777777" w:rsidR="004E2E7A" w:rsidRPr="00C85A02" w:rsidRDefault="004E2E7A" w:rsidP="00081041">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3.57</w:t>
            </w:r>
          </w:p>
        </w:tc>
      </w:tr>
      <w:tr w:rsidR="004E2E7A" w:rsidRPr="00C85A02" w14:paraId="479B2EC6" w14:textId="77777777" w:rsidTr="00081041">
        <w:tc>
          <w:tcPr>
            <w:tcW w:w="1667" w:type="pct"/>
          </w:tcPr>
          <w:p w14:paraId="05BBE9FC" w14:textId="77777777" w:rsidR="004E2E7A" w:rsidRPr="00C85A02" w:rsidRDefault="004E2E7A" w:rsidP="00081041">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2016-2017</w:t>
            </w:r>
          </w:p>
        </w:tc>
        <w:tc>
          <w:tcPr>
            <w:tcW w:w="1666" w:type="pct"/>
          </w:tcPr>
          <w:p w14:paraId="150C1F53" w14:textId="77777777" w:rsidR="004E2E7A" w:rsidRPr="00C85A02" w:rsidRDefault="004E2E7A" w:rsidP="00081041">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Average GPA of Graduating Class</w:t>
            </w:r>
          </w:p>
        </w:tc>
        <w:tc>
          <w:tcPr>
            <w:tcW w:w="1667" w:type="pct"/>
          </w:tcPr>
          <w:p w14:paraId="0D1A5E2A" w14:textId="77777777" w:rsidR="004E2E7A" w:rsidRPr="00C85A02" w:rsidRDefault="004E2E7A" w:rsidP="00081041">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3.56</w:t>
            </w:r>
          </w:p>
        </w:tc>
      </w:tr>
      <w:tr w:rsidR="004E2E7A" w:rsidRPr="00C85A02" w14:paraId="0F75ABA2" w14:textId="77777777" w:rsidTr="00081041">
        <w:tc>
          <w:tcPr>
            <w:tcW w:w="1667" w:type="pct"/>
          </w:tcPr>
          <w:p w14:paraId="275E40A4" w14:textId="77777777" w:rsidR="004E2E7A" w:rsidRPr="00C85A02" w:rsidRDefault="004E2E7A" w:rsidP="00081041">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2105-2016</w:t>
            </w:r>
          </w:p>
        </w:tc>
        <w:tc>
          <w:tcPr>
            <w:tcW w:w="1666" w:type="pct"/>
          </w:tcPr>
          <w:p w14:paraId="65E29DD4" w14:textId="77777777" w:rsidR="004E2E7A" w:rsidRPr="00C85A02" w:rsidRDefault="004E2E7A" w:rsidP="00081041">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Average GPA of Graduating Class</w:t>
            </w:r>
          </w:p>
        </w:tc>
        <w:tc>
          <w:tcPr>
            <w:tcW w:w="1667" w:type="pct"/>
          </w:tcPr>
          <w:p w14:paraId="41CDCE71" w14:textId="77777777" w:rsidR="004E2E7A" w:rsidRPr="00C85A02" w:rsidRDefault="004E2E7A" w:rsidP="00081041">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3.51</w:t>
            </w:r>
          </w:p>
        </w:tc>
      </w:tr>
    </w:tbl>
    <w:p w14:paraId="40050409" w14:textId="77777777" w:rsidR="00120253" w:rsidRDefault="00120253"/>
    <w:sectPr w:rsidR="001202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49A5" w14:textId="77777777" w:rsidR="00CD1108" w:rsidRDefault="00CD1108" w:rsidP="004E2E7A">
      <w:r>
        <w:separator/>
      </w:r>
    </w:p>
  </w:endnote>
  <w:endnote w:type="continuationSeparator" w:id="0">
    <w:p w14:paraId="4F72E097" w14:textId="77777777" w:rsidR="00CD1108" w:rsidRDefault="00CD1108" w:rsidP="004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D3B97" w14:textId="77777777" w:rsidR="00CD1108" w:rsidRDefault="00CD1108" w:rsidP="004E2E7A">
      <w:r>
        <w:separator/>
      </w:r>
    </w:p>
  </w:footnote>
  <w:footnote w:type="continuationSeparator" w:id="0">
    <w:p w14:paraId="53AD2DA0" w14:textId="77777777" w:rsidR="00CD1108" w:rsidRDefault="00CD1108" w:rsidP="004E2E7A">
      <w:r>
        <w:continuationSeparator/>
      </w:r>
    </w:p>
  </w:footnote>
  <w:footnote w:id="1">
    <w:p w14:paraId="5E34B886" w14:textId="08915244" w:rsidR="004E2E7A" w:rsidRPr="00493CFE" w:rsidRDefault="004E2E7A" w:rsidP="004E2E7A">
      <w:pPr>
        <w:pStyle w:val="FootnoteText"/>
        <w:rPr>
          <w:rFonts w:asciiTheme="minorHAnsi" w:hAnsiTheme="minorHAnsi" w:cstheme="minorHAnsi"/>
          <w:sz w:val="16"/>
          <w:szCs w:val="16"/>
        </w:rPr>
      </w:pPr>
      <w:r w:rsidRPr="00493CFE">
        <w:rPr>
          <w:rStyle w:val="FootnoteReference"/>
          <w:rFonts w:asciiTheme="minorHAnsi" w:hAnsiTheme="minorHAnsi" w:cstheme="minorHAnsi"/>
          <w:sz w:val="16"/>
          <w:szCs w:val="16"/>
        </w:rPr>
        <w:footnoteRef/>
      </w:r>
      <w:r w:rsidRPr="00493CFE">
        <w:rPr>
          <w:rFonts w:asciiTheme="minorHAnsi" w:hAnsiTheme="minorHAnsi" w:cstheme="minorHAnsi"/>
          <w:sz w:val="16"/>
          <w:szCs w:val="16"/>
        </w:rPr>
        <w:t xml:space="preserve"> Part-time status is </w:t>
      </w:r>
      <w:r>
        <w:rPr>
          <w:rFonts w:asciiTheme="minorHAnsi" w:hAnsiTheme="minorHAnsi" w:cstheme="minorHAnsi"/>
          <w:sz w:val="16"/>
          <w:szCs w:val="16"/>
        </w:rPr>
        <w:t>less than 12 units per semester.</w:t>
      </w:r>
    </w:p>
    <w:p w14:paraId="2797C792" w14:textId="77777777" w:rsidR="004E2E7A" w:rsidRPr="00493CFE" w:rsidRDefault="004E2E7A" w:rsidP="004E2E7A">
      <w:pPr>
        <w:pStyle w:val="FootnoteText"/>
        <w:rPr>
          <w:rFonts w:asciiTheme="minorHAnsi" w:hAnsiTheme="minorHAnsi" w:cstheme="minorHAnsi"/>
          <w:sz w:val="16"/>
          <w:szCs w:val="16"/>
        </w:rPr>
      </w:pPr>
    </w:p>
  </w:footnote>
  <w:footnote w:id="2">
    <w:p w14:paraId="04CFEC2E" w14:textId="77777777" w:rsidR="004E2E7A" w:rsidRPr="00493CFE" w:rsidRDefault="004E2E7A" w:rsidP="004E2E7A">
      <w:pPr>
        <w:pStyle w:val="FootnoteText"/>
        <w:rPr>
          <w:rFonts w:asciiTheme="minorHAnsi" w:hAnsiTheme="minorHAnsi" w:cstheme="minorHAnsi"/>
          <w:color w:val="000000" w:themeColor="text1"/>
          <w:sz w:val="16"/>
          <w:szCs w:val="16"/>
        </w:rPr>
      </w:pPr>
      <w:r w:rsidRPr="00493CFE">
        <w:rPr>
          <w:rStyle w:val="FootnoteReference"/>
          <w:sz w:val="16"/>
          <w:szCs w:val="16"/>
        </w:rPr>
        <w:footnoteRef/>
      </w:r>
      <w:r w:rsidRPr="00493CFE">
        <w:rPr>
          <w:sz w:val="16"/>
          <w:szCs w:val="16"/>
        </w:rPr>
        <w:t xml:space="preserve"> “</w:t>
      </w:r>
      <w:r w:rsidRPr="00493CFE">
        <w:rPr>
          <w:rFonts w:asciiTheme="minorHAnsi" w:hAnsiTheme="minorHAnsi" w:cstheme="minorHAnsi"/>
          <w:color w:val="000000" w:themeColor="text1"/>
          <w:sz w:val="16"/>
          <w:szCs w:val="16"/>
          <w:shd w:val="clear" w:color="auto" w:fill="FFFFFF"/>
        </w:rPr>
        <w:t xml:space="preserve">The Commission defines the published time frame as the number of terms an individual student was actually enrolled in the program. The terms do not have to be consecutive, but the total number of terms must meet the program’s expected time frame for completion. University-approved withdrawals (e.g., leaves of absence for reasons of health, maternity/paternity, mission work, military assignment) do not count toward the number of terms a student was enrolled in the program. Students taking longer due to reasons other than university-approved withdrawals (e.g., course repeats, remediation plans) cannot be considered as meeting completion expectations.” </w:t>
      </w:r>
      <w:r w:rsidRPr="00493CFE">
        <w:rPr>
          <w:rFonts w:asciiTheme="minorHAnsi" w:hAnsiTheme="minorHAnsi" w:cstheme="minorHAnsi"/>
          <w:i/>
          <w:color w:val="000000" w:themeColor="text1"/>
          <w:sz w:val="16"/>
          <w:szCs w:val="16"/>
          <w:shd w:val="clear" w:color="auto" w:fill="FFFFFF"/>
        </w:rPr>
        <w:t>Language adapted from the Council on Academic Accreditation for Audiology, Speech Language Pathology of the American Speech Language Hearing Association at</w:t>
      </w:r>
      <w:r w:rsidRPr="00493CFE">
        <w:rPr>
          <w:rFonts w:asciiTheme="minorHAnsi" w:hAnsiTheme="minorHAnsi" w:cstheme="minorHAnsi"/>
          <w:color w:val="000000" w:themeColor="text1"/>
          <w:sz w:val="16"/>
          <w:szCs w:val="16"/>
          <w:shd w:val="clear" w:color="auto" w:fill="FFFFFF"/>
        </w:rPr>
        <w:t xml:space="preserve"> </w:t>
      </w:r>
      <w:hyperlink r:id="rId1" w:history="1">
        <w:r w:rsidRPr="00493CFE">
          <w:rPr>
            <w:rStyle w:val="Hyperlink"/>
            <w:rFonts w:asciiTheme="minorHAnsi" w:hAnsiTheme="minorHAnsi" w:cstheme="minorHAnsi"/>
            <w:sz w:val="16"/>
            <w:szCs w:val="16"/>
            <w:shd w:val="clear" w:color="auto" w:fill="FFFFFF"/>
          </w:rPr>
          <w:t>http://caa.asha.org/news/calculating-program-completion-rates/</w:t>
        </w:r>
      </w:hyperlink>
      <w:r w:rsidRPr="00493CFE">
        <w:rPr>
          <w:rFonts w:asciiTheme="minorHAnsi" w:hAnsiTheme="minorHAnsi" w:cstheme="minorHAnsi"/>
          <w:color w:val="000000" w:themeColor="text1"/>
          <w:sz w:val="16"/>
          <w:szCs w:val="16"/>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3030F"/>
    <w:multiLevelType w:val="hybridMultilevel"/>
    <w:tmpl w:val="2DBA9D78"/>
    <w:lvl w:ilvl="0" w:tplc="32DCAC86">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64600300"/>
    <w:multiLevelType w:val="multilevel"/>
    <w:tmpl w:val="34E0D272"/>
    <w:lvl w:ilvl="0">
      <w:start w:val="1"/>
      <w:numFmt w:val="decimal"/>
      <w:pStyle w:val="palatino10outlinenumbered"/>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7A"/>
    <w:rsid w:val="00011BAB"/>
    <w:rsid w:val="00120253"/>
    <w:rsid w:val="004E2E7A"/>
    <w:rsid w:val="00982F21"/>
    <w:rsid w:val="00CD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D435"/>
  <w15:chartTrackingRefBased/>
  <w15:docId w15:val="{E638FE25-B91E-497A-A214-FA348798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E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E2E7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E7A"/>
    <w:rPr>
      <w:rFonts w:asciiTheme="majorHAnsi" w:eastAsiaTheme="majorEastAsia" w:hAnsiTheme="majorHAnsi" w:cstheme="majorBidi"/>
      <w:color w:val="2F5496" w:themeColor="accent1" w:themeShade="BF"/>
      <w:sz w:val="32"/>
      <w:szCs w:val="32"/>
    </w:rPr>
  </w:style>
  <w:style w:type="paragraph" w:customStyle="1" w:styleId="palatino10outlinenumbered">
    <w:name w:val="palatino 10 outline numbered"/>
    <w:basedOn w:val="Normal"/>
    <w:rsid w:val="004E2E7A"/>
    <w:pPr>
      <w:numPr>
        <w:numId w:val="1"/>
      </w:numPr>
      <w:spacing w:after="60"/>
    </w:pPr>
    <w:rPr>
      <w:rFonts w:ascii="Palatino Linotype" w:eastAsia="Times" w:hAnsi="Palatino Linotype"/>
      <w:sz w:val="20"/>
      <w:szCs w:val="20"/>
    </w:rPr>
  </w:style>
  <w:style w:type="character" w:styleId="Hyperlink">
    <w:name w:val="Hyperlink"/>
    <w:basedOn w:val="DefaultParagraphFont"/>
    <w:uiPriority w:val="99"/>
    <w:rsid w:val="004E2E7A"/>
    <w:rPr>
      <w:color w:val="0000FF"/>
      <w:u w:val="single"/>
    </w:rPr>
  </w:style>
  <w:style w:type="paragraph" w:customStyle="1" w:styleId="verdana10">
    <w:name w:val="verdana10"/>
    <w:basedOn w:val="Normal"/>
    <w:rsid w:val="004E2E7A"/>
    <w:pPr>
      <w:spacing w:before="60" w:after="60"/>
    </w:pPr>
    <w:rPr>
      <w:rFonts w:ascii="Verdana" w:hAnsi="Verdana" w:cs="Arial"/>
      <w:sz w:val="20"/>
    </w:rPr>
  </w:style>
  <w:style w:type="paragraph" w:styleId="FootnoteText">
    <w:name w:val="footnote text"/>
    <w:basedOn w:val="Normal"/>
    <w:link w:val="FootnoteTextChar"/>
    <w:uiPriority w:val="99"/>
    <w:unhideWhenUsed/>
    <w:rsid w:val="004E2E7A"/>
    <w:rPr>
      <w:sz w:val="20"/>
      <w:szCs w:val="20"/>
    </w:rPr>
  </w:style>
  <w:style w:type="character" w:customStyle="1" w:styleId="FootnoteTextChar">
    <w:name w:val="Footnote Text Char"/>
    <w:basedOn w:val="DefaultParagraphFont"/>
    <w:link w:val="FootnoteText"/>
    <w:uiPriority w:val="99"/>
    <w:rsid w:val="004E2E7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E2E7A"/>
    <w:rPr>
      <w:vertAlign w:val="superscript"/>
    </w:rPr>
  </w:style>
  <w:style w:type="table" w:customStyle="1" w:styleId="TableGrid1">
    <w:name w:val="Table Grid1"/>
    <w:basedOn w:val="TableNormal"/>
    <w:next w:val="TableGrid"/>
    <w:uiPriority w:val="39"/>
    <w:rsid w:val="004E2E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2E7A"/>
    <w:pPr>
      <w:spacing w:before="100" w:beforeAutospacing="1" w:after="100" w:afterAutospacing="1"/>
    </w:pPr>
    <w:rPr>
      <w:rFonts w:eastAsiaTheme="minorEastAsia"/>
      <w:lang w:eastAsia="ko-KR"/>
    </w:rPr>
  </w:style>
  <w:style w:type="table" w:styleId="TableGrid">
    <w:name w:val="Table Grid"/>
    <w:basedOn w:val="TableNormal"/>
    <w:uiPriority w:val="39"/>
    <w:rsid w:val="004E2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aa.asha.org/news/calculating-program-completion-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Cynthia</dc:creator>
  <cp:keywords/>
  <dc:description/>
  <cp:lastModifiedBy>Bartlett, Cynthia</cp:lastModifiedBy>
  <cp:revision>2</cp:revision>
  <dcterms:created xsi:type="dcterms:W3CDTF">2019-02-27T17:39:00Z</dcterms:created>
  <dcterms:modified xsi:type="dcterms:W3CDTF">2019-02-27T17:53:00Z</dcterms:modified>
</cp:coreProperties>
</file>